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heme="minorEastAsia" w:hAnsiTheme="minorEastAsia" w:eastAsiaTheme="minorEastAsia" w:cstheme="minorEastAsia"/>
          <w:color w:val="000000" w:themeColor="text1"/>
          <w:sz w:val="52"/>
          <w:szCs w:val="52"/>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14:textFill>
            <w14:solidFill>
              <w14:schemeClr w14:val="tx1"/>
            </w14:solidFill>
          </w14:textFill>
        </w:rPr>
        <w:t>广纺公司信息安全建设项目邀请竞选</w:t>
      </w:r>
    </w:p>
    <w:p>
      <w:pPr>
        <w:adjustRightInd w:val="0"/>
        <w:snapToGrid w:val="0"/>
        <w:spacing w:line="360" w:lineRule="auto"/>
        <w:ind w:firstLine="1044" w:firstLineChars="200"/>
        <w:rPr>
          <w:rFonts w:asciiTheme="minorEastAsia" w:hAnsiTheme="minorEastAsia" w:eastAsiaTheme="minorEastAsia" w:cstheme="minorEastAsia"/>
          <w:b/>
          <w:bCs/>
          <w:color w:val="000000" w:themeColor="text1"/>
          <w:kern w:val="28"/>
          <w:sz w:val="52"/>
          <w:szCs w:val="52"/>
          <w14:textFill>
            <w14:solidFill>
              <w14:schemeClr w14:val="tx1"/>
            </w14:solidFill>
          </w14:textFill>
        </w:rPr>
      </w:pPr>
      <w:r>
        <w:rPr>
          <w:rFonts w:hint="eastAsia" w:asciiTheme="minorEastAsia" w:hAnsiTheme="minorEastAsia" w:eastAsiaTheme="minorEastAsia" w:cstheme="minorEastAsia"/>
          <w:b/>
          <w:bCs/>
          <w:color w:val="000000" w:themeColor="text1"/>
          <w:kern w:val="28"/>
          <w:sz w:val="52"/>
          <w:szCs w:val="52"/>
          <w14:textFill>
            <w14:solidFill>
              <w14:schemeClr w14:val="tx1"/>
            </w14:solidFill>
          </w14:textFill>
        </w:rPr>
        <w:t xml:space="preserve"> </w:t>
      </w: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r>
        <w:rPr>
          <w:rFonts w:hint="eastAsia" w:asciiTheme="minorEastAsia" w:hAnsiTheme="minorEastAsia" w:eastAsiaTheme="minorEastAsia" w:cstheme="minorEastAsia"/>
          <w:b/>
          <w:bCs/>
          <w:color w:val="000000" w:themeColor="text1"/>
          <w:kern w:val="28"/>
          <w:sz w:val="52"/>
          <w:szCs w:val="52"/>
          <w14:textFill>
            <w14:solidFill>
              <w14:schemeClr w14:val="tx1"/>
            </w14:solidFill>
          </w14:textFill>
        </w:rPr>
        <w:t>采</w:t>
      </w: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r>
        <w:rPr>
          <w:rFonts w:hint="eastAsia" w:asciiTheme="minorEastAsia" w:hAnsiTheme="minorEastAsia" w:eastAsiaTheme="minorEastAsia" w:cstheme="minorEastAsia"/>
          <w:b/>
          <w:bCs/>
          <w:color w:val="000000" w:themeColor="text1"/>
          <w:kern w:val="28"/>
          <w:sz w:val="52"/>
          <w:szCs w:val="52"/>
          <w14:textFill>
            <w14:solidFill>
              <w14:schemeClr w14:val="tx1"/>
            </w14:solidFill>
          </w14:textFill>
        </w:rPr>
        <w:t>购</w:t>
      </w: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r>
        <w:rPr>
          <w:rFonts w:hint="eastAsia" w:asciiTheme="minorEastAsia" w:hAnsiTheme="minorEastAsia" w:eastAsiaTheme="minorEastAsia" w:cstheme="minorEastAsia"/>
          <w:b/>
          <w:bCs/>
          <w:color w:val="000000" w:themeColor="text1"/>
          <w:kern w:val="28"/>
          <w:sz w:val="52"/>
          <w:szCs w:val="52"/>
          <w14:textFill>
            <w14:solidFill>
              <w14:schemeClr w14:val="tx1"/>
            </w14:solidFill>
          </w14:textFill>
        </w:rPr>
        <w:t>文</w:t>
      </w: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r>
        <w:rPr>
          <w:rFonts w:hint="eastAsia" w:asciiTheme="minorEastAsia" w:hAnsiTheme="minorEastAsia" w:eastAsiaTheme="minorEastAsia" w:cstheme="minorEastAsia"/>
          <w:b/>
          <w:bCs/>
          <w:color w:val="000000" w:themeColor="text1"/>
          <w:kern w:val="28"/>
          <w:sz w:val="52"/>
          <w:szCs w:val="52"/>
          <w14:textFill>
            <w14:solidFill>
              <w14:schemeClr w14:val="tx1"/>
            </w14:solidFill>
          </w14:textFill>
        </w:rPr>
        <w:t>件</w:t>
      </w: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p>
    <w:p>
      <w:pPr>
        <w:tabs>
          <w:tab w:val="left" w:pos="525"/>
        </w:tabs>
        <w:snapToGrid w:val="0"/>
        <w:ind w:right="420" w:rightChars="200" w:firstLine="720" w:firstLineChars="200"/>
        <w:jc w:val="center"/>
        <w:rPr>
          <w:rFonts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Fill>
            <w14:solidFill>
              <w14:schemeClr w14:val="tx1"/>
            </w14:solidFill>
          </w14:textFill>
        </w:rPr>
        <w:t>广州广检纺织服装服饰检测研究院有限公司</w:t>
      </w:r>
    </w:p>
    <w:p>
      <w:pPr>
        <w:tabs>
          <w:tab w:val="left" w:pos="525"/>
        </w:tabs>
        <w:snapToGrid w:val="0"/>
        <w:spacing w:line="300" w:lineRule="auto"/>
        <w:jc w:val="center"/>
        <w:rPr>
          <w:rFonts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Fill>
            <w14:solidFill>
              <w14:schemeClr w14:val="tx1"/>
            </w14:solidFill>
          </w14:textFill>
        </w:rPr>
        <w:t>2019 年</w:t>
      </w:r>
      <w:r>
        <w:rPr>
          <w:rFonts w:hint="eastAsia" w:asciiTheme="minorEastAsia" w:hAnsiTheme="minorEastAsia" w:eastAsiaTheme="minorEastAsia" w:cstheme="minorEastAsia"/>
          <w:color w:val="000000" w:themeColor="text1"/>
          <w:sz w:val="36"/>
          <w:szCs w:val="36"/>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36"/>
          <w:szCs w:val="36"/>
          <w14:textFill>
            <w14:solidFill>
              <w14:schemeClr w14:val="tx1"/>
            </w14:solidFill>
          </w14:textFill>
        </w:rPr>
        <w:t>月</w:t>
      </w:r>
    </w:p>
    <w:p>
      <w:pPr>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br w:type="page"/>
      </w:r>
    </w:p>
    <w:p>
      <w:pPr>
        <w:pStyle w:val="20"/>
        <w:numPr>
          <w:ilvl w:val="0"/>
          <w:numId w:val="1"/>
        </w:numPr>
        <w:adjustRightInd w:val="0"/>
        <w:snapToGrid w:val="0"/>
        <w:spacing w:line="360" w:lineRule="auto"/>
        <w:ind w:firstLineChars="0"/>
        <w:jc w:val="center"/>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采购邀请函</w:t>
      </w:r>
    </w:p>
    <w:p>
      <w:pPr>
        <w:adjustRightInd w:val="0"/>
        <w:snapToGrid w:val="0"/>
        <w:spacing w:line="360" w:lineRule="auto"/>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广州广检纺织服装服饰检测研究院有限公司信息安全建设项目进行邀请竞选采购，欢迎符合条件的供应商参与竞选。</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采购项目名称：广纺公司信息安全建设项目</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采购项目</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最高限价</w:t>
      </w:r>
      <w:r>
        <w:rPr>
          <w:rFonts w:hint="eastAsia" w:asciiTheme="minorEastAsia" w:hAnsiTheme="minorEastAsia" w:eastAsiaTheme="minorEastAsia" w:cstheme="minorEastAsia"/>
          <w:color w:val="000000" w:themeColor="text1"/>
          <w:sz w:val="28"/>
          <w:szCs w:val="28"/>
          <w14:textFill>
            <w14:solidFill>
              <w14:schemeClr w14:val="tx1"/>
            </w14:solidFill>
          </w14:textFill>
        </w:rPr>
        <w:t>：250000元；</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供货期：合同签订后15个工作日；</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供应商资格：</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(一)基本要求。</w:t>
      </w:r>
      <w:r>
        <w:rPr>
          <w:rFonts w:hint="eastAsia" w:ascii="仿宋_GB2312" w:hAnsi="宋体" w:eastAsia="仿宋_GB2312"/>
          <w:bCs/>
          <w:color w:val="000000"/>
          <w:sz w:val="32"/>
          <w:szCs w:val="32"/>
        </w:rPr>
        <w:t>供应商应具备《中华人民共和国政府采购法》第二十二条规定的条件：</w:t>
      </w:r>
    </w:p>
    <w:p>
      <w:pPr>
        <w:pStyle w:val="22"/>
        <w:numPr>
          <w:ilvl w:val="0"/>
          <w:numId w:val="3"/>
        </w:numPr>
        <w:spacing w:line="520" w:lineRule="exact"/>
        <w:ind w:firstLineChars="0"/>
        <w:rPr>
          <w:rFonts w:ascii="仿宋_GB2312" w:eastAsia="仿宋_GB2312"/>
          <w:sz w:val="32"/>
          <w:szCs w:val="32"/>
        </w:rPr>
      </w:pPr>
      <w:r>
        <w:rPr>
          <w:rFonts w:hint="eastAsia" w:ascii="仿宋_GB2312" w:eastAsia="仿宋_GB2312"/>
          <w:sz w:val="32"/>
          <w:szCs w:val="32"/>
        </w:rPr>
        <w:t>具有独立承担民事责任的能力；</w:t>
      </w:r>
    </w:p>
    <w:p>
      <w:pPr>
        <w:pStyle w:val="22"/>
        <w:numPr>
          <w:ilvl w:val="0"/>
          <w:numId w:val="3"/>
        </w:numPr>
        <w:spacing w:line="520" w:lineRule="exact"/>
        <w:ind w:firstLineChars="0"/>
        <w:rPr>
          <w:rFonts w:ascii="仿宋_GB2312" w:eastAsia="仿宋_GB2312"/>
          <w:sz w:val="32"/>
          <w:szCs w:val="32"/>
        </w:rPr>
      </w:pPr>
      <w:r>
        <w:rPr>
          <w:rFonts w:hint="eastAsia" w:ascii="仿宋_GB2312" w:eastAsia="仿宋_GB2312"/>
          <w:sz w:val="32"/>
          <w:szCs w:val="32"/>
        </w:rPr>
        <w:t>具有良好的商业信誉和健全的财务会计制度；</w:t>
      </w:r>
    </w:p>
    <w:p>
      <w:pPr>
        <w:pStyle w:val="22"/>
        <w:numPr>
          <w:ilvl w:val="0"/>
          <w:numId w:val="3"/>
        </w:numPr>
        <w:spacing w:line="520" w:lineRule="exact"/>
        <w:ind w:firstLineChars="0"/>
        <w:rPr>
          <w:rFonts w:ascii="仿宋_GB2312" w:eastAsia="仿宋_GB2312"/>
          <w:sz w:val="32"/>
          <w:szCs w:val="32"/>
        </w:rPr>
      </w:pPr>
      <w:r>
        <w:rPr>
          <w:rFonts w:hint="eastAsia" w:ascii="仿宋_GB2312" w:eastAsia="仿宋_GB2312"/>
          <w:sz w:val="32"/>
          <w:szCs w:val="32"/>
        </w:rPr>
        <w:t>具有履行合同所必需的设备和专业技术能力；</w:t>
      </w:r>
    </w:p>
    <w:p>
      <w:pPr>
        <w:pStyle w:val="22"/>
        <w:numPr>
          <w:ilvl w:val="0"/>
          <w:numId w:val="3"/>
        </w:numPr>
        <w:spacing w:line="520" w:lineRule="exact"/>
        <w:ind w:firstLineChars="0"/>
        <w:rPr>
          <w:rFonts w:ascii="仿宋_GB2312" w:eastAsia="仿宋_GB2312"/>
          <w:sz w:val="32"/>
          <w:szCs w:val="32"/>
        </w:rPr>
      </w:pPr>
      <w:r>
        <w:rPr>
          <w:rFonts w:hint="eastAsia" w:ascii="仿宋_GB2312" w:eastAsia="仿宋_GB2312"/>
          <w:sz w:val="32"/>
          <w:szCs w:val="32"/>
        </w:rPr>
        <w:t>有依法缴纳税收和社会保障资金的良好记录；</w:t>
      </w:r>
    </w:p>
    <w:p>
      <w:pPr>
        <w:pStyle w:val="22"/>
        <w:numPr>
          <w:ilvl w:val="0"/>
          <w:numId w:val="3"/>
        </w:numPr>
        <w:spacing w:line="520" w:lineRule="exact"/>
        <w:ind w:left="0" w:firstLine="708" w:firstLineChars="0"/>
        <w:rPr>
          <w:rFonts w:ascii="仿宋_GB2312" w:eastAsia="仿宋_GB2312"/>
          <w:sz w:val="32"/>
          <w:szCs w:val="32"/>
        </w:rPr>
      </w:pPr>
      <w:r>
        <w:rPr>
          <w:rFonts w:hint="eastAsia" w:ascii="仿宋_GB2312" w:eastAsia="仿宋_GB2312"/>
          <w:sz w:val="32"/>
          <w:szCs w:val="32"/>
        </w:rPr>
        <w:t>参加政府采购活动前三年内，在经营活动中没有重大违法记录；</w:t>
      </w:r>
    </w:p>
    <w:p>
      <w:pPr>
        <w:pStyle w:val="22"/>
        <w:numPr>
          <w:ilvl w:val="0"/>
          <w:numId w:val="3"/>
        </w:numPr>
        <w:spacing w:line="520" w:lineRule="exact"/>
        <w:ind w:left="0" w:firstLine="708" w:firstLineChars="0"/>
        <w:rPr>
          <w:rFonts w:ascii="仿宋_GB2312" w:eastAsia="仿宋_GB2312"/>
          <w:sz w:val="32"/>
          <w:szCs w:val="32"/>
        </w:rPr>
      </w:pPr>
      <w:r>
        <w:rPr>
          <w:rFonts w:hint="eastAsia" w:ascii="仿宋_GB2312" w:eastAsia="仿宋_GB2312"/>
          <w:sz w:val="32"/>
          <w:szCs w:val="32"/>
        </w:rPr>
        <w:t>法律、行政法规规定的其他条件。</w:t>
      </w:r>
    </w:p>
    <w:p>
      <w:pPr>
        <w:pStyle w:val="22"/>
        <w:numPr>
          <w:ilvl w:val="0"/>
          <w:numId w:val="4"/>
        </w:numPr>
        <w:spacing w:line="520" w:lineRule="exact"/>
        <w:ind w:left="708" w:firstLine="0" w:firstLineChars="0"/>
        <w:rPr>
          <w:rFonts w:ascii="仿宋_GB2312" w:eastAsia="仿宋_GB2312"/>
          <w:b/>
          <w:sz w:val="32"/>
          <w:szCs w:val="32"/>
        </w:rPr>
      </w:pPr>
      <w:r>
        <w:rPr>
          <w:rFonts w:hint="eastAsia" w:ascii="仿宋_GB2312" w:eastAsia="仿宋_GB2312"/>
          <w:b/>
          <w:sz w:val="32"/>
          <w:szCs w:val="32"/>
        </w:rPr>
        <w:t>其他要求：</w:t>
      </w:r>
    </w:p>
    <w:p>
      <w:pPr>
        <w:pStyle w:val="22"/>
        <w:numPr>
          <w:ilvl w:val="0"/>
          <w:numId w:val="5"/>
        </w:numPr>
        <w:spacing w:line="520" w:lineRule="exact"/>
        <w:ind w:left="708"/>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供应商具备信息安全技术项目实施能力及相关资质证书。</w:t>
      </w:r>
    </w:p>
    <w:p>
      <w:pPr>
        <w:pStyle w:val="22"/>
        <w:numPr>
          <w:ilvl w:val="0"/>
          <w:numId w:val="5"/>
        </w:numPr>
        <w:spacing w:line="520" w:lineRule="exact"/>
        <w:ind w:left="708"/>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color w:val="000000"/>
          <w:sz w:val="28"/>
          <w:szCs w:val="28"/>
          <w:lang w:val="zh-CN"/>
        </w:rPr>
        <w:t>供应商具备一般纳税人资格。</w:t>
      </w:r>
    </w:p>
    <w:p>
      <w:pPr>
        <w:pStyle w:val="22"/>
        <w:numPr>
          <w:ilvl w:val="0"/>
          <w:numId w:val="5"/>
        </w:numPr>
        <w:spacing w:line="520" w:lineRule="exact"/>
        <w:ind w:left="708"/>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本采购项目包组不接受联合体投标。</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项目截止时间：2019年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14:textFill>
            <w14:solidFill>
              <w14:schemeClr w14:val="tx1"/>
            </w14:solidFill>
          </w14:textFill>
        </w:rPr>
        <w:t>日17时00分。</w:t>
      </w:r>
    </w:p>
    <w:p>
      <w:pPr>
        <w:numPr>
          <w:ilvl w:val="0"/>
          <w:numId w:val="2"/>
        </w:numPr>
        <w:adjustRightInd w:val="0"/>
        <w:snapToGrid w:val="0"/>
        <w:spacing w:line="360" w:lineRule="auto"/>
        <w:rPr>
          <w:rFonts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响应文件提交：快递或现场提交。地点：</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广州市番禺区石楼镇潮田工业区珠江路1-2</w:t>
      </w:r>
      <w:r>
        <w:rPr>
          <w:rFonts w:hint="eastAsia" w:asciiTheme="minorEastAsia" w:hAnsiTheme="minorEastAsia" w:eastAsiaTheme="minorEastAsia" w:cstheme="minorEastAsia"/>
          <w:color w:val="000000" w:themeColor="text1"/>
          <w:sz w:val="28"/>
          <w:szCs w:val="28"/>
          <w14:textFill>
            <w14:solidFill>
              <w14:schemeClr w14:val="tx1"/>
            </w14:solidFill>
          </w14:textFill>
        </w:rPr>
        <w:t>综合楼303室</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项目评审时间：2019年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日10时00分。</w:t>
      </w:r>
    </w:p>
    <w:p>
      <w:pPr>
        <w:numPr>
          <w:ilvl w:val="0"/>
          <w:numId w:val="2"/>
        </w:numPr>
        <w:adjustRightInd w:val="0"/>
        <w:snapToGrid w:val="0"/>
        <w:spacing w:line="360" w:lineRule="auto"/>
        <w:rPr>
          <w:rFonts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评审地点：</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广州市番禺区石楼镇潮田工业区珠江路1-2综合楼615室</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本公告期限：自发布之日起至2019年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14:textFill>
            <w14:solidFill>
              <w14:schemeClr w14:val="tx1"/>
            </w14:solidFill>
          </w14:textFill>
        </w:rPr>
        <w:t>日17时00分止。</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本项目相关公告在以下媒体发布：</w:t>
      </w:r>
    </w:p>
    <w:p>
      <w:pPr>
        <w:numPr>
          <w:ilvl w:val="-1"/>
          <w:numId w:val="0"/>
        </w:numPr>
        <w:adjustRightInd w:val="0"/>
        <w:snapToGrid w:val="0"/>
        <w:spacing w:line="360" w:lineRule="auto"/>
        <w:ind w:left="0"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广检集团官网</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（http://www.gzgjjt.cn/），</w:t>
      </w:r>
      <w:r>
        <w:rPr>
          <w:rFonts w:hint="eastAsia" w:asciiTheme="minorEastAsia" w:hAnsiTheme="minorEastAsia" w:eastAsiaTheme="minorEastAsia" w:cstheme="minorEastAsia"/>
          <w:color w:val="000000" w:themeColor="text1"/>
          <w:sz w:val="28"/>
          <w:szCs w:val="28"/>
          <w14:textFill>
            <w14:solidFill>
              <w14:schemeClr w14:val="tx1"/>
            </w14:solidFill>
          </w14:textFill>
        </w:rPr>
        <w:t>相关公告在官网上公布之日即视为有效送达，不再另行通知。</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联系事项：</w:t>
      </w:r>
    </w:p>
    <w:p>
      <w:p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14:textFill>
            <w14:solidFill>
              <w14:schemeClr w14:val="tx1"/>
            </w14:solidFill>
          </w14:textFill>
        </w:rPr>
        <w:t>采购单位：广州广检纺织服装服饰检测研究院有限公司</w:t>
      </w:r>
    </w:p>
    <w:p>
      <w:pPr>
        <w:adjustRightInd w:val="0"/>
        <w:snapToGrid w:val="0"/>
        <w:spacing w:line="360" w:lineRule="auto"/>
        <w:ind w:firstLine="980" w:firstLineChars="35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地址：广州市番禺区石楼镇潮田工业区珠江路1号综合楼303室</w:t>
      </w:r>
    </w:p>
    <w:p>
      <w:pPr>
        <w:adjustRightInd w:val="0"/>
        <w:snapToGrid w:val="0"/>
        <w:spacing w:line="360" w:lineRule="auto"/>
        <w:ind w:firstLine="980" w:firstLineChars="35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联系人：王华运，联系电话：66348699，邮编：511447</w:t>
      </w:r>
    </w:p>
    <w:p>
      <w:pPr>
        <w:adjustRightInd w:val="0"/>
        <w:snapToGrid w:val="0"/>
        <w:spacing w:line="360" w:lineRule="auto"/>
        <w:ind w:firstLine="435"/>
        <w:jc w:val="righ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ab/>
      </w:r>
    </w:p>
    <w:p>
      <w:pPr>
        <w:adjustRightInd w:val="0"/>
        <w:snapToGrid w:val="0"/>
        <w:spacing w:line="360" w:lineRule="auto"/>
        <w:ind w:firstLine="435"/>
        <w:jc w:val="righ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广州广检纺织服装服饰检测研究院有限公司</w:t>
      </w:r>
    </w:p>
    <w:p>
      <w:pPr>
        <w:ind w:firstLine="560" w:firstLineChars="200"/>
        <w:jc w:val="righ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发布日期：2019年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日</w:t>
      </w:r>
    </w:p>
    <w:p>
      <w:pPr>
        <w:jc w:val="lef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br w:type="page"/>
      </w:r>
    </w:p>
    <w:p>
      <w:pPr>
        <w:ind w:firstLine="560" w:firstLineChars="200"/>
        <w:jc w:val="right"/>
        <w:rPr>
          <w:rFonts w:asciiTheme="minorEastAsia" w:hAnsiTheme="minorEastAsia" w:eastAsiaTheme="minorEastAsia" w:cstheme="minorEastAsia"/>
          <w:color w:val="000000" w:themeColor="text1"/>
          <w:sz w:val="28"/>
          <w:szCs w:val="28"/>
          <w14:textFill>
            <w14:solidFill>
              <w14:schemeClr w14:val="tx1"/>
            </w14:solidFill>
          </w14:textFill>
        </w:rPr>
      </w:pPr>
    </w:p>
    <w:p>
      <w:pPr>
        <w:pStyle w:val="20"/>
        <w:numPr>
          <w:ilvl w:val="255"/>
          <w:numId w:val="0"/>
        </w:numPr>
        <w:adjustRightInd w:val="0"/>
        <w:snapToGrid w:val="0"/>
        <w:spacing w:line="360" w:lineRule="auto"/>
        <w:ind w:left="420"/>
        <w:jc w:val="center"/>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第二章 采购需求</w:t>
      </w:r>
    </w:p>
    <w:p>
      <w:pPr>
        <w:adjustRightInd w:val="0"/>
        <w:snapToGri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广纺公司对于信息安全建设项目进行邀请竞选采购，具体事项公告如下：</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一、采购项目概况：</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1.项目名称：广纺公司信息安全建设项目</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2.项目地点：广州市番禺区石楼镇潮田工业区珠江路1；           </w:t>
      </w:r>
    </w:p>
    <w:p>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采购项目</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最高限价</w:t>
      </w:r>
      <w:r>
        <w:rPr>
          <w:rFonts w:hint="eastAsia" w:asciiTheme="minorEastAsia" w:hAnsiTheme="minorEastAsia" w:eastAsiaTheme="minorEastAsia" w:cstheme="minorEastAsia"/>
          <w:color w:val="000000" w:themeColor="text1"/>
          <w:sz w:val="28"/>
          <w:szCs w:val="28"/>
          <w14:textFill>
            <w14:solidFill>
              <w14:schemeClr w14:val="tx1"/>
            </w14:solidFill>
          </w14:textFill>
        </w:rPr>
        <w:t>：约250000元；</w:t>
      </w:r>
    </w:p>
    <w:p>
      <w:pPr>
        <w:rPr>
          <w:rFonts w:asciiTheme="minorEastAsia" w:hAnsiTheme="minorEastAsia" w:eastAsiaTheme="minorEastAsia" w:cstheme="minorEastAsia"/>
          <w:color w:val="000000" w:themeColor="text1"/>
          <w14:textFill>
            <w14:solidFill>
              <w14:schemeClr w14:val="tx1"/>
            </w14:solidFill>
          </w14:textFill>
        </w:rPr>
      </w:pP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二、采购清单</w:t>
      </w:r>
    </w:p>
    <w:tbl>
      <w:tblPr>
        <w:tblStyle w:val="8"/>
        <w:tblW w:w="6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项目名称</w:t>
            </w:r>
          </w:p>
        </w:tc>
        <w:tc>
          <w:tcPr>
            <w:tcW w:w="213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数量</w:t>
            </w:r>
          </w:p>
        </w:tc>
        <w:tc>
          <w:tcPr>
            <w:tcW w:w="2131"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堡垒机</w:t>
            </w:r>
          </w:p>
        </w:tc>
        <w:tc>
          <w:tcPr>
            <w:tcW w:w="213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1套</w:t>
            </w:r>
          </w:p>
        </w:tc>
        <w:tc>
          <w:tcPr>
            <w:tcW w:w="2131"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人民币5</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0000</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日志审计系统</w:t>
            </w:r>
          </w:p>
        </w:tc>
        <w:tc>
          <w:tcPr>
            <w:tcW w:w="213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1套</w:t>
            </w:r>
          </w:p>
        </w:tc>
        <w:tc>
          <w:tcPr>
            <w:tcW w:w="2131"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人民币5</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0000</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Web防火墙</w:t>
            </w:r>
          </w:p>
        </w:tc>
        <w:tc>
          <w:tcPr>
            <w:tcW w:w="213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1套</w:t>
            </w:r>
          </w:p>
        </w:tc>
        <w:tc>
          <w:tcPr>
            <w:tcW w:w="2131"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人民币</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65000</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SSL VPN</w:t>
            </w:r>
          </w:p>
        </w:tc>
        <w:tc>
          <w:tcPr>
            <w:tcW w:w="213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1套</w:t>
            </w:r>
          </w:p>
        </w:tc>
        <w:tc>
          <w:tcPr>
            <w:tcW w:w="2131"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人民币25</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000</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安全测评服务</w:t>
            </w:r>
          </w:p>
        </w:tc>
        <w:tc>
          <w:tcPr>
            <w:tcW w:w="213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1项</w:t>
            </w:r>
          </w:p>
        </w:tc>
        <w:tc>
          <w:tcPr>
            <w:tcW w:w="2131"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人民币3</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0000</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安全加固服务</w:t>
            </w:r>
          </w:p>
        </w:tc>
        <w:tc>
          <w:tcPr>
            <w:tcW w:w="213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1项</w:t>
            </w:r>
          </w:p>
        </w:tc>
        <w:tc>
          <w:tcPr>
            <w:tcW w:w="2131"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人民币3</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0000</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元</w:t>
            </w:r>
          </w:p>
        </w:tc>
      </w:tr>
    </w:tbl>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备注：产品详细技术参数及执行标准、规格及服务要求等详见用户需求文件。</w:t>
      </w: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三、技术要求</w:t>
      </w:r>
    </w:p>
    <w:p>
      <w:pPr>
        <w:pStyle w:val="22"/>
        <w:numPr>
          <w:ilvl w:val="255"/>
          <w:numId w:val="0"/>
        </w:numPr>
        <w:spacing w:before="156" w:beforeLines="50" w:after="156" w:afterLines="5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1、堡垒机</w:t>
      </w:r>
    </w:p>
    <w:tbl>
      <w:tblPr>
        <w:tblStyle w:val="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384" w:type="dxa"/>
            <w:tcBorders>
              <w:top w:val="single" w:color="auto" w:sz="4" w:space="0"/>
              <w:left w:val="single" w:color="auto" w:sz="4" w:space="0"/>
              <w:right w:val="single" w:color="auto" w:sz="4" w:space="0"/>
            </w:tcBorders>
            <w:shd w:val="clear" w:color="auto" w:fill="BEBEBE" w:themeFill="background1" w:themeFillShade="BF"/>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功能指标</w:t>
            </w:r>
          </w:p>
        </w:tc>
        <w:tc>
          <w:tcPr>
            <w:tcW w:w="6946"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napToGrid w:val="0"/>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系统部署</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软硬一体化机架式设备，至少提供6个1000M电口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可管理资源数≥</w:t>
            </w:r>
            <w:r>
              <w:rPr>
                <w:rFonts w:hint="eastAsia" w:asciiTheme="minorEastAsia" w:hAnsiTheme="minorEastAsia" w:eastAsiaTheme="minorEastAsia" w:cstheme="minorEastAsia"/>
                <w:color w:val="000000" w:themeColor="text1"/>
                <w:szCs w:val="18"/>
                <w:u w:color="000000"/>
                <w:lang w:val="zh-TW" w:eastAsia="zh-TW"/>
                <w14:textFill>
                  <w14:solidFill>
                    <w14:schemeClr w14:val="tx1"/>
                  </w14:solidFill>
                </w14:textFill>
              </w:rPr>
              <w:t>50/150</w:t>
            </w:r>
            <w:r>
              <w:rPr>
                <w:rFonts w:hint="eastAsia" w:asciiTheme="minorEastAsia" w:hAnsiTheme="minorEastAsia" w:eastAsiaTheme="minorEastAsia" w:cstheme="minorEastAsia"/>
                <w:color w:val="000000" w:themeColor="text1"/>
                <w:szCs w:val="21"/>
                <w14:textFill>
                  <w14:solidFill>
                    <w14:schemeClr w14:val="tx1"/>
                  </w14:solidFill>
                </w14:textFill>
              </w:rPr>
              <w:t>个，支持licence扩容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物理旁路单臂部署，以逻辑网关方式工作；不改变现有网络结构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系统各模块支持以B/S方式管理，采用https加密方式访问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支持协议</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字符协议：SSHv1、SSHv2、TELNET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图形协议：RDP、VNC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文件传输协议：FTP、SFTP、RDP磁盘映射、RDP剪切板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支持通过协议前置机进行协议扩展，至少支持扩展KVM、Vmware、数据库、http/https、CS应用等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动作流</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★★★支持通过动作流配置提供广泛的应用接入支持，无论被接入的资源如何设计登录动作，通过动作流配置都可以实现单点登陆和审计接入（提供截图）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用户管理</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支持批量导入、导出用户信息；支持用户手动添加、删除、编辑、设定角色、单独指定登陆认证方式、设定用户有效期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★用户登陆认证方式支持静态口令认证、手机动态口令认证、Usbkey（数字证书）认证、AD域认证、Radius认证等认证方式；并支持各种认证方式和静态口令组合认证（提供截图）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支持从windows AD域抽取用户账号作为主账号，支持一次性抽取和周期性抽取两种方式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18"/>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★★内置三员角色的同时支持角色灵活自定义，可根据用户实际的管理特性或特殊的安全管理组织架构，划分管理角色的管理范畴（提供截图）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18"/>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支持对用户指定限制登录IP、登录时间段（可循环，如每周一到周五9：00-17：00时）等规则，以确保可信用户登陆系统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支持口令有效期设置，用户账号口令到期强制用户修改自身口令，口令强度必须符合密码策略要求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资源管理</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支持unix资源、windows资源、网络设备资源、数据库资源、C/S资源、B/S资源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支持批量导入、导出资源信息；支持手动添加、删除、编辑、查询资源，支持变更默认运维端口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18"/>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18"/>
                <w14:textFill>
                  <w14:solidFill>
                    <w14:schemeClr w14:val="tx1"/>
                  </w14:solidFill>
                </w14:textFill>
              </w:rPr>
              <w:t>支持RDP安全模式（RDP、NLA、TLS、ANY）设置，以适应RDP-Tcp属性中的所有功能配置，包括加密级别为客户端兼容、低、高、符合FIPS标准等加密级别（提供截图）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18"/>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支持网络设备enable和unix主机su等身份切换的单点登录功能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运维授权</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支持一对一、一对多、多对多授权，如将单个资产授权多个用户，一个用户授予多个资产，用户组向资产组授权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bCs/>
                <w:color w:val="000000" w:themeColor="text1"/>
                <w:szCs w:val="21"/>
                <w14:textFill>
                  <w14:solidFill>
                    <w14:schemeClr w14:val="tx1"/>
                  </w14:solidFill>
                </w14:textFill>
              </w:rPr>
              <w:t>支持跨部门的交叉授权操作，部门资源管理员可将本部门资源授权给其他部门用户，实现资源临时/长期跨部门访问（提供截图）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18"/>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支持按授权名称、用户名称、用户账号、资源名称、资源地址、资源账号查询已授权信息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18"/>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bCs/>
                <w:color w:val="000000" w:themeColor="text1"/>
                <w:szCs w:val="21"/>
                <w14:textFill>
                  <w14:solidFill>
                    <w14:schemeClr w14:val="tx1"/>
                  </w14:solidFill>
                </w14:textFill>
              </w:rPr>
              <w:t>支持自定义紧急运维流程开启或关闭，紧急运维开启时，运维人员可通过紧急运维流程直接访问目标设备，系统记录为紧急运维工单，审批人员可在事后查看或审批（提供截图）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支持生成授权报表和可访问外部资源报表，报表详细展示用户和资源的授权关系，并提供EXCEL、WORD、PDF、HTML等格式导出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口令策略</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18"/>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可以配置口令长度，是否包含字母及字母的长度，是否包含数字及数字的长度，是否包含符号及符号的长度，口令时效性；口令策略还可以配置禁止包含的关键字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改密计划</w:t>
            </w:r>
          </w:p>
        </w:tc>
        <w:tc>
          <w:tcPr>
            <w:tcW w:w="6946" w:type="dxa"/>
            <w:tcBorders>
              <w:top w:val="single" w:color="auto" w:sz="4" w:space="0"/>
              <w:left w:val="single" w:color="auto" w:sz="4" w:space="0"/>
              <w:bottom w:val="single" w:color="auto" w:sz="4" w:space="0"/>
              <w:right w:val="single" w:color="auto" w:sz="4" w:space="0"/>
            </w:tcBorders>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bCs/>
                <w:color w:val="000000" w:themeColor="text1"/>
                <w:szCs w:val="21"/>
                <w14:textFill>
                  <w14:solidFill>
                    <w14:schemeClr w14:val="tx1"/>
                  </w14:solidFill>
                </w14:textFill>
              </w:rPr>
              <w:t>支持定期变更目标设备真实口令，支持自定义口令变更周期和口令强度。口令变更方式至少支持手动指定固定口令、通过密码表生成口令、依照设备挂载的口令策略生成随机口令、依照密码策略生成同一口令等方式（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支持密码策略设置，可自定义密码复杂程度，可设置密码中包含数字、字母、符号及禁用关键字等内容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访问控制</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支持命令黑命单，对字符型设备（如linux/unix/网络设备）的高危命令执行进行阻断，如rm、shutdown、reboot等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bCs/>
                <w:color w:val="000000" w:themeColor="text1"/>
                <w:szCs w:val="21"/>
                <w14:textFill>
                  <w14:solidFill>
                    <w14:schemeClr w14:val="tx1"/>
                  </w14:solidFill>
                </w14:textFill>
              </w:rPr>
              <w:t>支持命令审批规则，用户执行高危命令时需要管理员审批后才允许执行；命令审批规则可以指定运维人员、访问设备、设备账号及命令审批人（提供截图）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18"/>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支持配置资源访问时间规则，即使授权范围内的资源，需在指定时间范围内才可发起访问，确保运维在可信时间范围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运维方式</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★★支持web页面直接发起运维，无需安装任何控件，并同时支持调用SecureCRT、Xshell、Putty、WinSCP、FileZilla、RDP等客户端工具实现单点登陆，不改变运维人员操作习惯（提供截图）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审计日志</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支持监控正在运维的会话，信息包括运维用户、运维客户端地址、资源地址、协议、开始时间等，并可以实时阻断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18"/>
                <w14:textFill>
                  <w14:solidFill>
                    <w14:schemeClr w14:val="tx1"/>
                  </w14:solidFill>
                </w14:textFill>
              </w:rPr>
              <w:t>支持对FTP/SFTP传输的原始文件进行完整记录，并提供下载取证（提供截图）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支持提供系统内部操作审计，包括管理员和运维用户的登录、登出、对系统的配置操作、账号属性修改等系统管理操作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★支持运维审计日志在线播放，并且支持离线下载后使用专用离线播放器播放（提供截图）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支持倍速播放、拖动、暂停、停止、重新播放等播放控制操作，并可以指定时间点定位播放位置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支持自定义报表，可记录审计报表模板，可生成图形报表，并提供EXCEL、WORD、PDF、HTML等格式导出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★支持标准SNMP v1、v2、v3管理协议，支持syslog等标准日志格式外发（提供截图）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备份与维护</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支持手动和自动定期备份配置信息，支持配置信息本地备份及异地FTP备份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支持系统配置还原，可以还原至任一备份点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管理能力</w:t>
            </w:r>
          </w:p>
        </w:tc>
        <w:tc>
          <w:tcPr>
            <w:tcW w:w="6946" w:type="dxa"/>
            <w:tcBorders>
              <w:top w:val="single" w:color="auto" w:sz="4" w:space="0"/>
              <w:left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支持NTP系统时间同步配置，保证系统拥有可靠的时间戳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支持日志数据的外置存储，支持NFS、ISCSI和Windows文件共享协议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tcPr>
          <w:p>
            <w:pPr>
              <w:snapToGrid w:val="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支持通过WEB界面进行系统升级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tcPr>
          <w:p>
            <w:pPr>
              <w:snapToGrid w:val="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★支持从WEB页面设置多端口绑定，防止单网卡或单网线故障发生（提供截图）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tcPr>
          <w:p>
            <w:pPr>
              <w:snapToGrid w:val="0"/>
              <w:rPr>
                <w:rFonts w:asciiTheme="minorEastAsia" w:hAnsiTheme="minorEastAsia" w:eastAsiaTheme="minorEastAsia" w:cstheme="minorEastAsia"/>
                <w:b/>
                <w:color w:val="000000" w:themeColor="text1"/>
                <w:szCs w:val="18"/>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支持WEB页面配置双机热备（HA），保证系统可靠运行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虚拟化部署</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bCs/>
                <w:color w:val="000000" w:themeColor="text1"/>
                <w:szCs w:val="21"/>
                <w14:textFill>
                  <w14:solidFill>
                    <w14:schemeClr w14:val="tx1"/>
                  </w14:solidFill>
                </w14:textFill>
              </w:rPr>
              <w:t>支持云端快速部署，实现远程运维管理的规范化；可按照运维人员数量，调整云端服务器配置，即可实现性能优化（提供截图）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客户端兼容</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18"/>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★★全面支持Windows、linux、国产麒麟系统、Android、IOS、Mac OS等客户端，实现跨终端适应性BYOD（Bring Your Own Device）（提供截图）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维保服务</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18"/>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≥3年，包含软件更新服务、产品保修服务、远程支持服务</w:t>
            </w:r>
          </w:p>
        </w:tc>
      </w:tr>
    </w:tbl>
    <w:p>
      <w:pPr>
        <w:pStyle w:val="22"/>
        <w:numPr>
          <w:ilvl w:val="255"/>
          <w:numId w:val="0"/>
        </w:numPr>
        <w:spacing w:before="156" w:beforeLines="50" w:after="156" w:afterLines="5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2、日志审计系统</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Layout w:type="fixed"/>
          <w:tblCellMar>
            <w:top w:w="0" w:type="dxa"/>
            <w:left w:w="108" w:type="dxa"/>
            <w:bottom w:w="0" w:type="dxa"/>
            <w:right w:w="108" w:type="dxa"/>
          </w:tblCellMar>
        </w:tblPrEx>
        <w:trPr>
          <w:tblHeader/>
        </w:trPr>
        <w:tc>
          <w:tcPr>
            <w:tcW w:w="1159"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功能指标</w:t>
            </w:r>
          </w:p>
        </w:tc>
        <w:tc>
          <w:tcPr>
            <w:tcW w:w="7363" w:type="dxa"/>
            <w:tcBorders>
              <w:top w:val="single" w:color="auto" w:sz="4" w:space="0"/>
              <w:left w:val="single" w:color="auto" w:sz="4" w:space="0"/>
              <w:bottom w:val="single" w:color="auto" w:sz="4" w:space="0"/>
              <w:right w:val="single" w:color="auto" w:sz="4" w:space="0"/>
            </w:tcBorders>
            <w:shd w:val="clear" w:color="auto" w:fill="D9D9D9"/>
            <w:vAlign w:val="center"/>
          </w:tcPr>
          <w:p>
            <w:pPr>
              <w:tabs>
                <w:tab w:val="left" w:pos="420"/>
              </w:tabs>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产品结构</w:t>
            </w: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要求为一个完整的软硬件一体化产品；无需用户另行提供服务器、操作系统、数据库、防火墙软件、及用户手动升级系统补丁；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产品架构</w:t>
            </w: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采用标准2U机架式硬件；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操作系统</w:t>
            </w: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深度定制优化的Linux系统；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管理方式</w:t>
            </w: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B/S方式，采用HTTPS方式远程安全管理，无需安装管理客户端；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设备部署</w:t>
            </w: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提供旁路接入模式，设备部署不影响原有网络结构；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top w:val="single" w:color="auto" w:sz="4" w:space="0"/>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数据存储</w:t>
            </w: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所供系统设备必须自带本地存储功能；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可用物理磁盘空间&gt;=1TB；日志存储量至少十亿条；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RAID架构以保证数据可靠性；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支持后期扩展外部网络存储(IP SAN、NAS、DAS、磁盘阵列等)；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top w:val="single" w:color="auto" w:sz="4" w:space="0"/>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网络接口</w:t>
            </w: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审计主机至少提供千兆RJ45*6（一路数据传输口；一路系统管理口）；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网络接口支持电口，可升级为光口；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处理性能</w:t>
            </w: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日志采集能力：3000条/秒以上；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top w:val="single" w:color="auto" w:sz="4" w:space="0"/>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数据采集</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支持通过页面直接将日志文件导入或以syslog方式接收日志信息，支持日志类型：UNIX、WINDOWS事件[2003、2008</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2012</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2018、</w:t>
            </w:r>
            <w:r>
              <w:rPr>
                <w:rFonts w:hint="eastAsia" w:asciiTheme="minorEastAsia" w:hAnsiTheme="minorEastAsia" w:eastAsiaTheme="minorEastAsia" w:cstheme="minorEastAsia"/>
                <w:color w:val="000000" w:themeColor="text1"/>
                <w:szCs w:val="21"/>
                <w14:textFill>
                  <w14:solidFill>
                    <w14:schemeClr w14:val="tx1"/>
                  </w14:solidFill>
                </w14:textFill>
              </w:rPr>
              <w:t>XP、VISTA、Win7及以上版本]、网络及安全设备[深信服、Cisco、Array、Juniper、H3C、神州数码、绿盟、天融信、安氏领信、网神]、AS400日志、数据库访问[Mysql]、WEB访问[Apache、IIS、Tomcat、Nginx、Weblogic、Resin、Websphere]、文件访问[VSftpd、Pureftpd、NCftpd、IISftpd、Proftpd、Glftpd、Serv-u]、</w:t>
            </w:r>
            <w:r>
              <w:rPr>
                <w:rFonts w:hint="eastAsia" w:asciiTheme="minorEastAsia" w:hAnsiTheme="minorEastAsia" w:eastAsiaTheme="minorEastAsia" w:cstheme="minorEastAsia"/>
                <w:b/>
                <w:bCs/>
                <w:color w:val="000000" w:themeColor="text1"/>
                <w:szCs w:val="21"/>
                <w14:textFill>
                  <w14:solidFill>
                    <w14:schemeClr w14:val="tx1"/>
                  </w14:solidFill>
                </w14:textFill>
              </w:rPr>
              <w:t>数据库服务[Oracle</w:t>
            </w:r>
            <w:r>
              <w:rPr>
                <w:rFonts w:hint="eastAsia" w:asciiTheme="minorEastAsia" w:hAnsiTheme="minorEastAsia" w:eastAsiaTheme="minorEastAsia" w:cstheme="minorEastAsia"/>
                <w:color w:val="000000" w:themeColor="text1"/>
                <w:szCs w:val="21"/>
                <w14:textFill>
                  <w14:solidFill>
                    <w14:schemeClr w14:val="tx1"/>
                  </w14:solidFill>
                </w14:textFill>
              </w:rPr>
              <w:t>、Mssql、Mysql、DB2、Informix、Sybase]、WEB服务[Apache、Tomcat、Nginx、Weblogic、Resin、Websphere]、FTP服务[VSftpd、NCftpd、Proftpd、Glftpd、Serv-u]；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支持SNMP日志采集，支持日志类型：网络及安全设备[深信服、Cisco、Array、Juniper、H3C、神州数码、绿盟、天融信、安氏领信、网神]；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支持镜像数据采集，支持类型：数据库模块[Oracle、Mssql、Mysql、DB2、Informix、Sybase、DM]、文件传输模块[FTP、SMB、HTTP]、邮件模块[SMTP、POP、HTTP]、远程控制模块[Telnet]、网站访问模块[网页浏览]、应用服务模块[FTP] （提供截图）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支持文本型日志文件定时采集，可自动将日志文件采集到系统中分析存储；（提供截图）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1159" w:type="dxa"/>
            <w:vMerge w:val="restart"/>
            <w:tcBorders>
              <w:top w:val="single" w:color="auto" w:sz="4" w:space="0"/>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监控功能</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支持以图表方式（饼图、柱图、曲线图）显示当日日志数据分布情况；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1159" w:type="dxa"/>
            <w:vMerge w:val="continue"/>
            <w:tcBorders>
              <w:top w:val="single" w:color="auto" w:sz="4" w:space="0"/>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支持自定义配置实时监控的日志类型；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1159" w:type="dxa"/>
            <w:vMerge w:val="continue"/>
            <w:tcBorders>
              <w:top w:val="single" w:color="auto" w:sz="4" w:space="0"/>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支持对所添加的资产进行实时监控，并能以不同图标显示发生的事件及告警；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1159" w:type="dxa"/>
            <w:vMerge w:val="continue"/>
            <w:tcBorders>
              <w:top w:val="single" w:color="auto" w:sz="4" w:space="0"/>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支持以图表方式（饼图、柱图、曲线图、清单列表）显示当日安全事件及告警日志数据分布情况；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1159" w:type="dxa"/>
            <w:vMerge w:val="continue"/>
            <w:tcBorders>
              <w:top w:val="single" w:color="auto" w:sz="4" w:space="0"/>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支持实时监控系统当前运行状态，包括系统CPU、内存、硬盘状态及管理员操作；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top w:val="single" w:color="auto" w:sz="4" w:space="0"/>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报表分析功能</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系统内置多种类报表模板；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支持动态\静态（日报、周报、月报）两种系统生成方式；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支持报告的邮件转发、生成提醒功能；支持多人邮件接收；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支持自定义审计报告；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支持导出html、Excel、PDF；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支持管理员自定义审计报表模板；（提供截图）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查询分析功能</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支持多种方式的查询检索，包括：日志检索、事件检索、告警检索、高级检索；（提供截图）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支持以日志类型、时间范围及条件字段快速检索过滤；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支持高级检索以多条件组合查询方式，可以将每一个日志字段作为查询条件进行查询；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支持按日志文件的名称、内容进行检索，并提供页面下载原始日志文件；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支持查询模版创建、修改、删除功能；（提供截图）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支持查询结果导出；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策略管理功能</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支持内置归并策略，对HTTP数据进行自动归并处理；（提供截图）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支持内置关联分析策略，可设定用户在规定时间内连续多次输入错误口令产生告警或事件；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支持自定义创建实时审计规则：根据日志字段为条件预设置分析策略；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规则条件设定支持逻辑运算符与支持正则表达式；（提供截图）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支持以告警页面、短信、邮件、SYSLOG、SNMP等各种方式呈现告警信息；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数据管理功能</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bookmarkStart w:id="0" w:name="OLE_LINK116"/>
            <w:bookmarkStart w:id="1" w:name="OLE_LINK117"/>
            <w:r>
              <w:rPr>
                <w:rFonts w:hint="eastAsia" w:asciiTheme="minorEastAsia" w:hAnsiTheme="minorEastAsia" w:eastAsiaTheme="minorEastAsia" w:cstheme="minorEastAsia"/>
                <w:color w:val="000000" w:themeColor="text1"/>
                <w:szCs w:val="18"/>
                <w14:textFill>
                  <w14:solidFill>
                    <w14:schemeClr w14:val="tx1"/>
                  </w14:solidFill>
                </w14:textFill>
              </w:rPr>
              <w:t>★</w:t>
            </w:r>
            <w:bookmarkEnd w:id="0"/>
            <w:bookmarkEnd w:id="1"/>
            <w:r>
              <w:rPr>
                <w:rFonts w:hint="eastAsia" w:asciiTheme="minorEastAsia" w:hAnsiTheme="minorEastAsia" w:eastAsiaTheme="minorEastAsia" w:cstheme="minorEastAsia"/>
                <w:b/>
                <w:color w:val="000000" w:themeColor="text1"/>
                <w:szCs w:val="21"/>
                <w14:textFill>
                  <w14:solidFill>
                    <w14:schemeClr w14:val="tx1"/>
                  </w14:solidFill>
                </w14:textFill>
              </w:rPr>
              <w:t>支持按日志属性、日志类型、时间范围进行数据备份；（提供截图）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支持WEB界面备份及日志恢复导入工作；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支持自动与手动两种备份归档方式；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系统支持以FTP上传方式将归档文件存储到第三方存储系统中；（提供截图）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系统配置功能</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支持审计系统用户（组）管理（添加、修改、删除、停用、启用）；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支持资产管理，即所有采集日志源管理维护；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支持密码长度、复杂度，密码猜测自动锁定账号以及系统超时设置安全策略；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支持证书页面生成下载；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支持系统配置备份恢复；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支持时间同步页面配置；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支持页面方式系统升级以及设备关闭、重启；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支持从WEB界面查看网卡IP设置，修改静态路由设置等内容；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支持安全页面（SSL）证书下载；（提供截图）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系统自身安全</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系统内置安全防火墙；支持控制访问审计主机范围；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必需提供内部通讯检查机制，传输128加密；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管理接口支持串口或电口的方式管理；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管理界面与其他功能模块分离；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left w:val="single" w:color="auto" w:sz="4" w:space="0"/>
              <w:right w:val="single" w:color="auto" w:sz="4" w:space="0"/>
            </w:tcBorders>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日志数据安全</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审计日志文件方式存储；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审计日志加密导出审计系统；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支持对所有审计管理员操作审计系统的动作进行审计；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日志权限</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审计员只限于操作权限设置范围内的日志数据，无权限日志数据透明；（提供截图）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支持日志类型、IP地址权限设置；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支持页面功能模块权限设置；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系统升级二次开发</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在设备维保期内，厂家提供对系统软件的免费升级服务，保证系统软件为最新版本；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根据用户需求定制开发相关内容，包括关联报表和特定业务日志审计等功能；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系统许可方式</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内置50（最大扩展到150）个主机审计许可证书；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维保服务</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年，</w:t>
            </w:r>
            <w:r>
              <w:rPr>
                <w:rFonts w:hint="eastAsia" w:asciiTheme="minorEastAsia" w:hAnsiTheme="minorEastAsia" w:eastAsiaTheme="minorEastAsia" w:cstheme="minorEastAsia"/>
                <w:color w:val="000000" w:themeColor="text1"/>
                <w:szCs w:val="21"/>
                <w14:textFill>
                  <w14:solidFill>
                    <w14:schemeClr w14:val="tx1"/>
                  </w14:solidFill>
                </w14:textFill>
              </w:rPr>
              <w:t>包含软件更新服务、产品保修服务、远程支持服务；；</w:t>
            </w:r>
          </w:p>
        </w:tc>
      </w:tr>
    </w:tbl>
    <w:p>
      <w:pPr>
        <w:spacing w:before="156" w:beforeLines="50" w:after="156" w:afterLines="50"/>
        <w:rPr>
          <w:rFonts w:asciiTheme="minorEastAsia" w:hAnsiTheme="minorEastAsia" w:eastAsiaTheme="minorEastAsia" w:cstheme="minorEastAsia"/>
          <w:b/>
          <w:color w:val="000000" w:themeColor="text1"/>
          <w:sz w:val="24"/>
          <w14:textFill>
            <w14:solidFill>
              <w14:schemeClr w14:val="tx1"/>
            </w14:solidFill>
          </w14:textFill>
        </w:rPr>
      </w:pPr>
    </w:p>
    <w:p>
      <w:pPr>
        <w:pStyle w:val="22"/>
        <w:numPr>
          <w:ilvl w:val="255"/>
          <w:numId w:val="0"/>
        </w:numPr>
        <w:spacing w:before="156" w:beforeLines="50" w:after="156" w:afterLines="5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3、WAF</w:t>
      </w:r>
    </w:p>
    <w:tbl>
      <w:tblPr>
        <w:tblStyle w:val="8"/>
        <w:tblW w:w="8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6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技术指标</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整机吞吐量</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≥4Gbps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应用层吞吐量</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≥4500Mbps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HTTP并发连接数</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HTTP新建连接数(CPS)</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eastAsiaTheme="minorEastAsia" w:cstheme="minorEastAsia"/>
                <w:color w:val="000000" w:themeColor="text1"/>
                <w:sz w:val="18"/>
                <w:szCs w:val="18"/>
                <w:lang w:val="zh-CN"/>
                <w14:textFill>
                  <w14:solidFill>
                    <w14:schemeClr w14:val="tx1"/>
                  </w14:solidFill>
                </w14:textFill>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设备接口</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≥4</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个千兆电口，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BYPASS</w:t>
            </w:r>
          </w:p>
        </w:tc>
        <w:tc>
          <w:tcPr>
            <w:tcW w:w="6756"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支持硬件软件BYPASS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维保服务</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年，包含规则库，实时漏洞分析识别库，热门威胁库，应用识别库，URL分类更新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部署方式</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支持透明网桥部署，实现应用层透明部署；</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支持镜像部署，镜像服务器流量即可实现安全审计和告警；</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支持单臂，虚拟网线以及混合部署方式；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基础功能</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支持连接会话展示，可针对具体的IP地址进行会话详情查询，支持封锁异常会话信息，并支持设置监听具体IP的会话记录；</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访问控制规则支持基于源／目的IP，源端口，源／目的区域，用户（组），应用/服务类型，时间组的细化控制方式；</w:t>
            </w:r>
          </w:p>
          <w:p>
            <w:pPr>
              <w:widowControl/>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★支持根据国家/地区来进行地域访问控制，并可根据攻击者地图直接封堵威胁区域IP访问；（需提供相关功能截图证明）；</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支持针对源IP、目的IP和双向IP连接数控制,可设置每个IP最大并发连接数；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应用识别与流量控制</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支持P2P、IM、游戏、炒股软件、网银，流媒体，常用邮件以及远程控制软件等的识别和控制，支持识别管控的应用类型超过1200种，应用识别规则总数超过3000条；</w:t>
            </w:r>
          </w:p>
          <w:p>
            <w:pPr>
              <w:widowControl/>
              <w:jc w:val="left"/>
              <w:rPr>
                <w:rFonts w:asciiTheme="minorEastAsia" w:hAnsiTheme="minorEastAsia" w:eastAsiaTheme="minorEastAsia" w:cstheme="minorEastAsia"/>
                <w:color w:val="000000" w:themeColor="text1"/>
                <w:kern w:val="0"/>
                <w:sz w:val="24"/>
                <w14:textFill>
                  <w14:solidFill>
                    <w14:schemeClr w14:val="tx1"/>
                  </w14:solidFill>
                </w14:textFill>
              </w:rPr>
            </w:pPr>
            <w:bookmarkStart w:id="2" w:name="_Hlk520792397"/>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★支持基于应用类型，网站类型，文件类型进行带宽分配和流量控制，支持基于时间、地域、认证用户、子接口和VLAN；</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服务器内容安全过滤</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支持URL过滤和文件过滤功能，URL过滤支持HTTP（get），HTTP（post）请求过滤和HTTPS过滤，文件过滤支持文件上传和下载过滤；</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支持针对SMTP、POP3、IMAP邮件协议的内容检测，如邮件附件病毒检测、邮件内容恶意链接检测，邮件异常账号检测等，支持根据邮件附件类型进行文件过滤；</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 xml:space="preserve">支持针对HTTP、FTP协议内容检测与病毒查杀；（需提供相关功能截图证明） </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bookmarkStart w:id="3" w:name="OLE_LINK38"/>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w:t>
            </w:r>
            <w:bookmarkEnd w:id="3"/>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 xml:space="preserve">支持采用无特征AI检测技术对恶意勒索病毒及挖矿病毒等热点病毒进行检测，给出基于AI技术的病毒检测报告； </w:t>
            </w:r>
            <w:bookmarkStart w:id="4" w:name="OLE_LINK39"/>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（需提供相关功能截图证明）</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网络层攻击防护</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支持Land、Smurf、Fraggle、WinNuke、Ping of Death、Tear Drop、IP Spoofing攻击防护，支持SYN Flood、IPv4和IPv6 ICMP Flood、UDP Flood、DNS Flood、ARP Flood攻击防护，支持IP地址扫描，端口扫描防护，支持ARP欺骗防护功能、支持IP协议异常报文检测和TCP协议异常报文检测；</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支持内网访问控制，配置内网区域只允许指定的IP地址或IP范围对外进行访问，防止内部伪造源IP对外DoS攻击的情况</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支持对信任区域主机外发的异常流量进行检测，如ICMP，UPD，SYN，DNS Flood等DDoS攻击行为；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571" w:type="dxa"/>
            <w:vAlign w:val="center"/>
          </w:tcPr>
          <w:p>
            <w:pPr>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Web应用安全防护</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 xml:space="preserve">设备具备独立的WEB应用防护识别库，特征总数在3500条以上； </w:t>
            </w:r>
            <w:bookmarkStart w:id="5" w:name="OLE_LINK5"/>
            <w:bookmarkStart w:id="6" w:name="OLE_LINK8"/>
            <w:bookmarkStart w:id="7" w:name="OLE_LINK4"/>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（需提供相关功能截图证明）</w:t>
            </w:r>
          </w:p>
          <w:bookmarkEnd w:id="5"/>
          <w:bookmarkEnd w:id="6"/>
          <w:bookmarkEnd w:id="7"/>
          <w:p>
            <w:pPr>
              <w:widowControl/>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w:t>
            </w:r>
            <w:bookmarkStart w:id="8" w:name="_Hlk525661832"/>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支持抵御SQL注入、XSS攻击、网页木马、网站扫描、WEBSHELL、跨站请求伪造、系统命令注入、文件包含攻击、目录遍历攻击、信息泄露攻击、WEB整站系统漏洞等攻击；</w:t>
            </w:r>
            <w:bookmarkEnd w:id="8"/>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（需提供相关功能截图证明）</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支持对Web漏洞攻击防护；</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支持对常见应用服务（HTTP、FTP、SSH、SMTP、IMAP、POP3、 RDP、Rlogin、SMB、Telnet、Weblogic、VNC）和数据库软件（MySQL、Oracle、MSSQL）的口令暴力破解防护功能；</w:t>
            </w:r>
          </w:p>
          <w:p>
            <w:pPr>
              <w:widowControl/>
              <w:rPr>
                <w:rFonts w:asciiTheme="minorEastAsia" w:hAnsiTheme="minorEastAsia" w:eastAsiaTheme="minorEastAsia" w:cstheme="minorEastAsia"/>
                <w:b/>
                <w:bCs/>
                <w:color w:val="000000" w:themeColor="text1"/>
                <w:kern w:val="0"/>
                <w:sz w:val="18"/>
                <w:szCs w:val="18"/>
                <w14:textFill>
                  <w14:solidFill>
                    <w14:schemeClr w14:val="tx1"/>
                  </w14:solidFill>
                </w14:textFill>
              </w:rPr>
            </w:pPr>
            <w:bookmarkStart w:id="9" w:name="_Hlk2332062"/>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★支持HTTP协议异常检测，包括HTTP请求异常检测、HTTP头部字段SQL注入检测、URL溢出检测、Post实体溢出检测、HTTP头部溢出检测；（需提供相关功能截图证明）</w:t>
            </w:r>
          </w:p>
          <w:p>
            <w:pPr>
              <w:widowControl/>
              <w:rPr>
                <w:rFonts w:asciiTheme="minorEastAsia" w:hAnsiTheme="minorEastAsia" w:eastAsiaTheme="minorEastAsia" w:cstheme="minorEastAsia"/>
                <w:b/>
                <w:bCs/>
                <w:color w:val="000000" w:themeColor="text1"/>
                <w:kern w:val="0"/>
                <w:sz w:val="18"/>
                <w:szCs w:val="18"/>
                <w14:textFill>
                  <w14:solidFill>
                    <w14:schemeClr w14:val="tx1"/>
                  </w14:solidFill>
                </w14:textFill>
              </w:rPr>
            </w:pPr>
            <w:bookmarkStart w:id="10" w:name="_Hlk2333886"/>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★支持FTP弱口令检测、WEB登陆弱口令检测、WEB登陆明文检测、口令暴力破解防护；（需提供相关功能截图证明）</w:t>
            </w:r>
          </w:p>
          <w:bookmarkEnd w:id="9"/>
          <w:bookmarkEnd w:id="10"/>
          <w:p>
            <w:pPr>
              <w:widowControl/>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支持CC攻击、CSRF攻击、COOKIE攻击等攻击防护功能；</w:t>
            </w:r>
          </w:p>
          <w:p>
            <w:pPr>
              <w:widowControl/>
              <w:rPr>
                <w:rFonts w:asciiTheme="minorEastAsia" w:hAnsiTheme="minorEastAsia" w:eastAsiaTheme="minorEastAsia" w:cstheme="minorEastAsia"/>
                <w:b/>
                <w:bCs/>
                <w:color w:val="000000" w:themeColor="text1"/>
                <w:kern w:val="0"/>
                <w:sz w:val="18"/>
                <w:szCs w:val="18"/>
                <w14:textFill>
                  <w14:solidFill>
                    <w14:schemeClr w14:val="tx1"/>
                  </w14:solidFill>
                </w14:textFill>
              </w:rPr>
            </w:pPr>
            <w:bookmarkStart w:id="11" w:name="OLE_LINK20"/>
            <w:bookmarkStart w:id="12" w:name="OLE_LINK19"/>
            <w:bookmarkStart w:id="13" w:name="_Hlk520793897"/>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w:t>
            </w:r>
            <w:bookmarkEnd w:id="11"/>
            <w:bookmarkEnd w:id="12"/>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支持针对网站的漏洞恶意扫描进行防护，能够拦截漏洞扫描设备或软件对网站漏洞的扫描探测，支持基于目录访问频率和敏感文件扫描等恶意扫描行为进行防护；（需提供相关功能截图证明）</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支持应用隐藏，可替换服务器和请求出错页面；</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支持对SSL解密，可对HTTPS加密会话进行分析；</w:t>
            </w:r>
          </w:p>
          <w:bookmarkEnd w:id="13"/>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★支持Web漏洞扫描功能，可扫描检测网站是否存在SQL注入、CSRF、XSS、远程文件包含、DOM跨站脚本攻击等漏洞；（需提供相关功能截图证明）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571" w:type="dxa"/>
            <w:vAlign w:val="center"/>
          </w:tcPr>
          <w:p>
            <w:pPr>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网站防篡改</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★支持对网站黑链进行检测，对已发现的黑链提供举证便于快速修复；（需提供相关功能截图证明）</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bookmarkStart w:id="14" w:name="_Hlk525662016"/>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支持Windows和Linux系统下网页防篡改功能，</w:t>
            </w:r>
            <w:bookmarkStart w:id="15" w:name="_Hlk520818815"/>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防篡改支持网站登录后台和FTP登录后台防护，管理员支持IP认证和邮件认证；</w:t>
            </w:r>
            <w:bookmarkEnd w:id="14"/>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（需提供相关功能截图证明）</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失陷主机检测</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bookmarkStart w:id="16" w:name="_Hlk525662272"/>
            <w:bookmarkStart w:id="17" w:name="_Hlk2332855"/>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★设备具备独立的热门威胁库，支持木马、勒索软件、蠕虫、挖矿病毒等种类，特征总数在60万条以上</w:t>
            </w:r>
            <w:bookmarkStart w:id="18" w:name="OLE_LINK18"/>
            <w:bookmarkStart w:id="19" w:name="OLE_LINK17"/>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bookmarkEnd w:id="16"/>
            <w:bookmarkStart w:id="20" w:name="_Hlk2332833"/>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（需提供相关功能截图证明）</w:t>
            </w:r>
            <w:bookmarkEnd w:id="20"/>
          </w:p>
          <w:bookmarkEnd w:id="17"/>
          <w:bookmarkEnd w:id="18"/>
          <w:bookmarkEnd w:id="19"/>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bookmarkStart w:id="21" w:name="OLE_LINK34"/>
            <w:bookmarkStart w:id="22" w:name="OLE_LINK35"/>
            <w:bookmarkStart w:id="23" w:name="_Hlk525662296"/>
            <w:bookmarkStart w:id="24" w:name="_Hlk520821892"/>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bookmarkEnd w:id="21"/>
            <w:bookmarkEnd w:id="22"/>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支持恶意域名重定向功能，用于DNS代理服务器场景下定位内网感染僵尸网络病毒的真实主机IP地址；</w:t>
            </w:r>
            <w:bookmarkEnd w:id="23"/>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（需提供相关功能截图证明）</w:t>
            </w:r>
          </w:p>
          <w:bookmarkEnd w:id="24"/>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★支持对服务器已被种植了远控木马或者病毒等恶意软件进行检测，并且能够对检测到的恶意软件行为进行深入的分析，展示和外部命令控制服务器的交互行为和其他可疑行为；（需提供相关功能截图证明）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安全可视化</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bookmarkStart w:id="25" w:name="_Hlk486513412"/>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产品首页支持业务资产安全风险展示；</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bookmarkStart w:id="26" w:name="_Hlk520825317"/>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bookmarkStart w:id="27" w:name="_Hlk3983442"/>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支持Web站点服务的自动发现、Web站点脆弱性和Web服务器开放端口的自动识别，支持包含敏感数据业务的识别；（需提供相关功能截图证明</w:t>
            </w:r>
            <w:bookmarkEnd w:id="25"/>
            <w:bookmarkEnd w:id="26"/>
            <w:bookmarkEnd w:id="27"/>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用户认证</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支持本地密码认证，LDAP、Radius等服务器外部密码认证方式；</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bookmarkStart w:id="28" w:name="_Hlk520827134"/>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支持基于域、Proxy、Pop3、Web、Radius单点登录方式；</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安全集中管理</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支持安全设备的集中管理，包括配置统一下发，规则库统一更新，安全日志实时上报与展示等功能；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系统管理</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支持以安全策略模板方式快速部署安全策略，安全策略模板支持默认模板和自定义模板等多种格式；</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★支持安全策略一体化配置，通过一条策略快速实现不同安全功能的配置，简化策略配置工作；（需提供相关功能截图证明）</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bookmarkStart w:id="29" w:name="_Hlk520821763"/>
            <w:bookmarkStart w:id="30" w:name="_Hlk2334438"/>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bookmarkStart w:id="31" w:name="OLE_LINK43"/>
            <w:bookmarkStart w:id="32" w:name="OLE_LINK42"/>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支持本地设备安全日志上传云端安全平台分析确认，可识别持续性攻击、黑链、高危僵尸病毒等高级威胁并通过微信方式进行预警</w:t>
            </w:r>
            <w:bookmarkEnd w:id="31"/>
            <w:bookmarkEnd w:id="32"/>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；支持高级威胁关联分析的能力，并展示热点事件详情，推送到运维管理员手机中</w:t>
            </w:r>
            <w:bookmarkEnd w:id="29"/>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进行快速处置；（需提供相关功能截图证明）</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日志管理</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bookmarkStart w:id="33" w:name="_Hlk520827082"/>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支持SYSLOG标准日志协议；</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★安全日志根据日志类型可存储在产品内置数据中心、外置数据中心、Syslog日志服务器、安全感知系统多种方式；需提供相关功能截图证明）</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支持根据起始时间、结束时间、源区域、源IP、目的区域、目的IP等多种条件快速进行安全日志查询；</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支持不同安全事件类型查询不同类型日志</w:t>
            </w:r>
            <w:bookmarkEnd w:id="33"/>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维保服务</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年，包含规则库，实时漏洞分析识别库，热门威胁库，应用识别库，URL分类更新</w:t>
            </w:r>
          </w:p>
        </w:tc>
      </w:tr>
    </w:tbl>
    <w:p>
      <w:pPr>
        <w:pStyle w:val="22"/>
        <w:spacing w:before="156" w:beforeLines="50" w:after="156" w:afterLines="50"/>
        <w:ind w:left="482" w:firstLine="0" w:firstLineChars="0"/>
        <w:rPr>
          <w:rFonts w:asciiTheme="minorEastAsia" w:hAnsiTheme="minorEastAsia" w:eastAsiaTheme="minorEastAsia" w:cstheme="minorEastAsia"/>
          <w:b/>
          <w:color w:val="000000" w:themeColor="text1"/>
          <w:sz w:val="24"/>
          <w14:textFill>
            <w14:solidFill>
              <w14:schemeClr w14:val="tx1"/>
            </w14:solidFill>
          </w14:textFill>
        </w:rPr>
      </w:pPr>
    </w:p>
    <w:p>
      <w:pPr>
        <w:pStyle w:val="22"/>
        <w:numPr>
          <w:ilvl w:val="255"/>
          <w:numId w:val="0"/>
        </w:numPr>
        <w:spacing w:before="156" w:beforeLines="50" w:after="156" w:afterLines="5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4、VPN</w:t>
      </w:r>
    </w:p>
    <w:tbl>
      <w:tblPr>
        <w:tblStyle w:val="23"/>
        <w:tblW w:w="8295"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849"/>
        <w:gridCol w:w="644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项目</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功能指标要求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SSLVPN移动用户授权</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个</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SSLVPN并发用户数</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00个</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SSLVPN每秒新建用户数</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14:textFill>
                  <w14:solidFill>
                    <w14:schemeClr w14:val="tx1"/>
                  </w14:solidFill>
                </w14:textFill>
              </w:rPr>
              <w:t>6</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0个</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最大并发会话数目</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50000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防火墙吞吐量</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≥150Mbps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内存</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14:textFill>
                  <w14:solidFill>
                    <w14:schemeClr w14:val="tx1"/>
                  </w14:solidFill>
                </w14:textFill>
              </w:rPr>
              <w:t>2</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G</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硬盘</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14:textFill>
                  <w14:solidFill>
                    <w14:schemeClr w14:val="tx1"/>
                  </w14:solidFill>
                </w14:textFill>
              </w:rPr>
              <w:t>6</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4G SSD</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网络接口</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14:textFill>
                  <w14:solidFill>
                    <w14:schemeClr w14:val="tx1"/>
                  </w14:solidFill>
                </w14:textFill>
              </w:rPr>
              <w:t>4个千兆电口</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尺寸</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14:textFill>
                  <w14:solidFill>
                    <w14:schemeClr w14:val="tx1"/>
                  </w14:solidFill>
                </w14:textFill>
              </w:rPr>
              <w:t>1</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U</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53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部署方式</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zh-TW" w:eastAsia="zh-TW"/>
                <w14:textFill>
                  <w14:solidFill>
                    <w14:schemeClr w14:val="tx1"/>
                  </w14:solidFill>
                </w14:textFill>
              </w:rPr>
              <w:t>支持网关模式、单臂模式、双机模式、集群模式的部署，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30" w:hRule="atLeast"/>
        </w:trPr>
        <w:tc>
          <w:tcPr>
            <w:tcW w:w="184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u基本特性</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专业</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设备，采用标准</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 xml:space="preserve">TLS </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协议，同时支持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IPSec 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两种</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，非插卡或防火墙带</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模块设备。同时支持软件化交付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79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支持对基于</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HTTP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HTTPS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FileShare</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DNS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H.323</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SMTP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POP3</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Telnet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SSH</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等的所有</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B/S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C/S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应用系统，支持基于</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TCP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UDP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ICMP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等</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层以上的协议的应用，例如即时通讯、视频、语音、</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Ping</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等服务；</w:t>
            </w:r>
            <w:r>
              <w:rPr>
                <w:rFonts w:hint="eastAsia" w:asciiTheme="minorEastAsia" w:hAnsiTheme="minorEastAsia" w:eastAsiaTheme="minorEastAsia" w:cstheme="minorEastAsia"/>
                <w:color w:val="000000" w:themeColor="text1"/>
                <w:kern w:val="0"/>
                <w:sz w:val="18"/>
                <w:szCs w:val="18"/>
                <w:lang w:eastAsia="zh-TW"/>
                <w14:textFill>
                  <w14:solidFill>
                    <w14:schemeClr w14:val="tx1"/>
                  </w14:solidFill>
                </w14:textFill>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31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PC</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终端使用包括</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Windows10</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Windows8</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Windows7</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Windows Vista</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Windows xp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Mac OS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Linux</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等主流操作系统来登录</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系统，并完整支持该操作系统下的各种</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层以上的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B/S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和</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C/S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应用；</w:t>
            </w:r>
          </w:p>
          <w:p>
            <w:pPr>
              <w:widowControl/>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Windows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IOS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Android</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、塞班、黑莓等操作系统的智能手机、</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PDA</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、平板电脑（</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PAD</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）等移动终端的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 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接入，或通过</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PPTP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L2TP 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方式接入；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79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支持终端使用包括</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IE6</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7</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8</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10</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11</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或其他</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IE</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内核的浏览器，以及最新版本的非</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IE</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内核浏览器，如</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Windows EDGE</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Google Chrome</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Firefox</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Safari</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Opera</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最新版登录</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系统，登录后可完整支持各种</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层以上的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B/S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和</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C/S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应用。（</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（提供截图证明，或现场演示）</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6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★支持Mac系统主流浏览器，如Chrome、Firefox等最新版，免安装浏览器插件登陆SSL VPN。</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6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★支持Linux系统主流浏览器，如Firefox、Chrome等最新版，免安装浏览器插件登陆SSL VPN。</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6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 xml:space="preserve">★ </w:t>
            </w:r>
            <w:bookmarkStart w:id="34" w:name="OLE_LINK3"/>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WebVPN支持跨平台免插件访问，支持EasyLink泛域名发布Web资源，简化资源发布和访问</w:t>
            </w:r>
            <w:bookmarkEnd w:id="34"/>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6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产品应支持的密码算法包括：</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AES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DES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3DES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DH</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RSA</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RC4</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MD5</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SHA1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30" w:hRule="atLeast"/>
        </w:trPr>
        <w:tc>
          <w:tcPr>
            <w:tcW w:w="184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易用性</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可支持虚拟门户功能，在一台设备上配置不同的访问域名、</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地址，以及不同的使用界面，实现一台设备为多个不同用户群体服务的的使用效果；</w:t>
            </w:r>
            <w:r>
              <w:rPr>
                <w:rFonts w:hint="eastAsia" w:asciiTheme="minorEastAsia" w:hAnsiTheme="minorEastAsia" w:eastAsiaTheme="minorEastAsia" w:cstheme="minorEastAsia"/>
                <w:color w:val="000000" w:themeColor="text1"/>
                <w:kern w:val="0"/>
                <w:sz w:val="18"/>
                <w:szCs w:val="18"/>
                <w:lang w:eastAsia="zh-TW"/>
                <w14:textFill>
                  <w14:solidFill>
                    <w14:schemeClr w14:val="tx1"/>
                  </w14:solidFill>
                </w14:textFill>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9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支持文档</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WEB</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化管理，用户可通过任意浏览器，对存储服务器的文件进行管理操作（包括：上传、下载、删除、重命名、剪切、复制、粘贴、新建文件目录），而不需要额外安装</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FTP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、文档共享软件等应用程序客户端。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3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支持用户登录界面、服务界面的完全自定义，上传单独的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Web</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页面作为用户登录界面、服务界面</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79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支持单点登录功能（</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SSO</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支持移动用户登录</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后再登录内部</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B/S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C/S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应用系统时不需要二次重复认证。支持针对</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B/S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单点登录用户名密码加密传输，保证安全；支持针对不同的访问资源设定不同的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SSO</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用户名和密码，支持用户自行修改</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SSO</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 xml:space="preserve">账号。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790" w:hRule="atLeast"/>
        </w:trPr>
        <w:tc>
          <w:tcPr>
            <w:tcW w:w="184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身份认证</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产品必须支持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 xml:space="preserve">Local DB </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USB KEY</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、短信认证、硬件特征码、动态令牌、数字证书认证、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LDAP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RADIUS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、等认证方式；可针对用户</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用户组设置认证方式的与、或组合，可进行用户名</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密码、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LDAP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USB KEY</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 xml:space="preserve">、硬件特征码、短信认证或动态令牌的五因素捆绑认证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131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支持系统实时监控，图形化显示一段时间内的运行状况，可查看</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CPU</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占用率、各条线路网络吞吐量、各条线路的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地址及发送接收流速、并发会话数、</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并发用户数；可查看历史最高并发用户数并显示时间记录；可实时查看</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接入用户的用户名、发送流速、接收流速、发送流量、接收流量、接入时间、并发会话数、接入</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、虚拟</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 xml:space="preserve">、认证方式等信息，并可在线中断指定用户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315"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支持独立日志中心进行</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实时日志记录，可详细记录用户访问资源记录（用户、主机</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、资源、时间）、管理员日志（管理员、主机</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、时间、管理行为、对象）、系统日志、告警日志；可根据用户名、主机</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等信息进行用户行为查询；可提供用户组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用户流量排行及查询、资源流量排行及查询、资源活跃程度、用户活跃程度等记录；提供暴破登录记录；可提供用户登陆</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 xml:space="preserve">采用非绑定账号访问应用系统的记录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3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Syslog</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（系统日志）服务器，可将管理员日志，系统日志、用户日志输出到</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syslog</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服务器中。</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3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支持密码找回功能，当用户的密码忘记或者丢失时，可自行找回密码，减轻管理员维护压力。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3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支持整体网关配置的本地及远程备份、恢复功能；支持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 xml:space="preserve">配置的单独备份、恢复功能，并支持历史配置的回滚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90" w:hRule="atLeast"/>
        </w:trPr>
        <w:tc>
          <w:tcPr>
            <w:tcW w:w="184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稳定性、可扩展性</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支持基于自组域简化部署</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网络的方法，即当有多台设备处于</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网络中时，通过连接任意节点的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设备，即相当于连入整个</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网络</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该方法解决了传统</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部署是，需要部署多台</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 xml:space="preserve"> （提供自主知识产权证明，专利号</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ZL200710074182.7</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050" w:hRule="atLeast"/>
        </w:trPr>
        <w:tc>
          <w:tcPr>
            <w:tcW w:w="1849" w:type="dxa"/>
            <w:vMerge w:val="continue"/>
            <w:tcBorders>
              <w:top w:val="single" w:color="000000" w:sz="4" w:space="0"/>
              <w:left w:val="single" w:color="000000" w:sz="4" w:space="0"/>
              <w:bottom w:val="single" w:color="auto"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产品必须支持经过集成的，基于</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Android IOS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平台的第三方软件开发包（</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SDK</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），并实现基于</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Android IOS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平台第三方应用软件（</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APP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）代码量不超过</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20</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行。（要求提供代码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Demo</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和企业证明）支持针对移动</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APP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安全代码的自动封装，实现</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App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应用的安全加固（提供界面截图证明）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1050" w:hRule="atLeast"/>
        </w:trPr>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themeColor="text1"/>
                <w:szCs w:val="21"/>
                <w:u w:color="000000"/>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维保服务</w:t>
            </w:r>
          </w:p>
        </w:tc>
        <w:tc>
          <w:tcPr>
            <w:tcW w:w="6446"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年，包含规则库，实时漏洞分析识别库，热门威胁库，应用识别库，URL分类更新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8" w:hRule="atLeast"/>
        </w:trPr>
        <w:tc>
          <w:tcPr>
            <w:tcW w:w="1849" w:type="dxa"/>
            <w:tcBorders>
              <w:top w:val="single" w:color="auto" w:sz="4" w:space="0"/>
            </w:tcBorders>
            <w:shd w:val="clear" w:color="auto" w:fill="auto"/>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p>
        </w:tc>
        <w:tc>
          <w:tcPr>
            <w:tcW w:w="6446" w:type="dxa"/>
            <w:shd w:val="clear" w:color="auto" w:fill="auto"/>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p>
        </w:tc>
      </w:tr>
    </w:tbl>
    <w:p>
      <w:pPr>
        <w:rPr>
          <w:rFonts w:asciiTheme="minorEastAsia" w:hAnsiTheme="minorEastAsia" w:eastAsiaTheme="minorEastAsia" w:cstheme="minorEastAsia"/>
          <w:color w:val="000000" w:themeColor="text1"/>
          <w14:textFill>
            <w14:solidFill>
              <w14:schemeClr w14:val="tx1"/>
            </w14:solidFill>
          </w14:textFill>
        </w:rPr>
      </w:pPr>
    </w:p>
    <w:p>
      <w:pPr>
        <w:pStyle w:val="20"/>
        <w:adjustRightInd w:val="0"/>
        <w:snapToGrid w:val="0"/>
        <w:spacing w:line="360" w:lineRule="auto"/>
        <w:ind w:firstLine="422"/>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5、</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安全测评服务 1项</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p>
    <w:tbl>
      <w:tblPr>
        <w:tblStyle w:val="8"/>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5"/>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b/>
                <w:color w:val="000000" w:themeColor="text1"/>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序号</w:t>
            </w: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b/>
                <w:color w:val="000000" w:themeColor="text1"/>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服务项</w:t>
            </w:r>
          </w:p>
        </w:tc>
        <w:tc>
          <w:tcPr>
            <w:tcW w:w="677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61" w:firstLineChars="200"/>
              <w:jc w:val="center"/>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0" w:firstLineChars="0"/>
              <w:outlineLvl w:val="2"/>
              <w:rPr>
                <w:rFonts w:asciiTheme="minorEastAsia" w:hAnsiTheme="minorEastAsia" w:eastAsiaTheme="minorEastAsia" w:cstheme="minorEastAsia"/>
                <w:color w:val="000000" w:themeColor="text1"/>
                <w:kern w:val="2"/>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0" w:firstLineChars="0"/>
              <w:outlineLvl w:val="2"/>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安全漏洞扫描服务</w:t>
            </w:r>
          </w:p>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677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60" w:firstLineChars="20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单位服务器、网络设备、安全设备、数据库、应用等重要系统进行漏洞扫描和安全评估。及时发现信息系统存在的各种安全隐患（网络结构、网络设备、服务器主机、操作系统、数据库和用户账号、口令等安全对象）和应用系统的漏洞，以便及时进行修补和加固，防患于未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0" w:firstLineChars="0"/>
              <w:outlineLvl w:val="2"/>
              <w:rPr>
                <w:rFonts w:asciiTheme="minorEastAsia" w:hAnsiTheme="minorEastAsia" w:eastAsiaTheme="minorEastAsia" w:cstheme="minorEastAsia"/>
                <w:color w:val="000000" w:themeColor="text1"/>
                <w:kern w:val="2"/>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0" w:firstLineChars="0"/>
              <w:outlineLvl w:val="2"/>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风险评估服务</w:t>
            </w:r>
          </w:p>
        </w:tc>
        <w:tc>
          <w:tcPr>
            <w:tcW w:w="677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48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全面、系统地分析个重要业务系统面临的风险，能更好的设计符合业务特点的安全保障方案及措施，维护系统的安全稳定运行。</w:t>
            </w:r>
          </w:p>
          <w:p>
            <w:pPr>
              <w:spacing w:line="240" w:lineRule="atLeast"/>
              <w:ind w:firstLine="270" w:firstLineChars="15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工作内容包括：</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）业务要求和目标分析：分析业务对信息系统的要求和目标，如可用性要求、完整性要求和安全性要求等。针对不同的目标确定其优先级，得出重点保障的要求和目标。</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）威胁建模：针对重点保障的要求和目标，构建信息安全威胁模型</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）风险分析：针对重点保障的要求和目标，以及威胁模型分析情况，评估业务系统存在的风险，重点评估风险的不同级别。</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）风险控制措施：对所有风险情况进行统计、分析及总结，提出有针对性的风险控制措施。</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）针对信息系统的总体情况，提出整体安全控制措施并形成完善解决方案，保障支撑业务安全目标的实现。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网站安全渗透测试服务</w:t>
            </w:r>
          </w:p>
        </w:tc>
        <w:tc>
          <w:tcPr>
            <w:tcW w:w="6774"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360"/>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针对单位网站，结合各项检查工作的成果，综合利用安全扫描器、漏洞利用工具、人工渗透测试等方式对其进行非破坏性质的模拟入侵者攻击的测试，以期掌握系统的安全状况，并对发现的安全风险提出针对性的安全整改建议，为修补漏洞、抵御安全风险提供技术支持。渗透测试内容须至少包括服务器信息收集、文件目录测试、认证测试、会话管理测试、权限管理测试、文件上传下载测试、信息泄漏测试、输入数据测试、跨站脚本攻击、逻辑测试、搜索引擎信息收集、Web Service测试。发现和挖掘系统的安全隐患，输出渗透测试报告和整改修复建议。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内网威胁检测服务</w:t>
            </w:r>
          </w:p>
        </w:tc>
        <w:tc>
          <w:tcPr>
            <w:tcW w:w="6774"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0" w:firstLineChars="0"/>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对单位内网安全现状进行分析，包括APT攻击，内外网恶意病毒程序传播，漏洞利用行为，恶意行为分析侦测，未知威胁侦测等类型威胁行为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等保测评服务</w:t>
            </w:r>
          </w:p>
        </w:tc>
        <w:tc>
          <w:tcPr>
            <w:tcW w:w="6774" w:type="dxa"/>
            <w:tcBorders>
              <w:top w:val="single" w:color="auto" w:sz="4" w:space="0"/>
              <w:left w:val="single" w:color="auto" w:sz="4" w:space="0"/>
              <w:bottom w:val="single" w:color="auto" w:sz="4" w:space="0"/>
              <w:right w:val="single" w:color="auto" w:sz="4" w:space="0"/>
            </w:tcBorders>
            <w:vAlign w:val="center"/>
          </w:tcPr>
          <w:p>
            <w:pPr>
              <w:numPr>
                <w:ilvl w:val="0"/>
                <w:numId w:val="6"/>
              </w:numPr>
              <w:spacing w:line="240" w:lineRule="atLeast"/>
              <w:ind w:left="33" w:firstLine="39"/>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包括定级备案。</w:t>
            </w:r>
          </w:p>
          <w:p>
            <w:pPr>
              <w:numPr>
                <w:ilvl w:val="0"/>
                <w:numId w:val="6"/>
              </w:numPr>
              <w:spacing w:line="240" w:lineRule="atLeast"/>
              <w:ind w:left="33" w:firstLine="39"/>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针对业务系统网站进行差距测评。</w:t>
            </w:r>
          </w:p>
        </w:tc>
      </w:tr>
    </w:tbl>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6、安全加固服务</w:t>
      </w:r>
    </w:p>
    <w:tbl>
      <w:tblPr>
        <w:tblStyle w:val="8"/>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5"/>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b/>
                <w:color w:val="000000" w:themeColor="text1"/>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序号</w:t>
            </w: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b/>
                <w:color w:val="000000" w:themeColor="text1"/>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服务项</w:t>
            </w:r>
          </w:p>
        </w:tc>
        <w:tc>
          <w:tcPr>
            <w:tcW w:w="6892"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61" w:firstLineChars="200"/>
              <w:jc w:val="center"/>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系统安全配置核查与加固服务</w:t>
            </w:r>
          </w:p>
        </w:tc>
        <w:tc>
          <w:tcPr>
            <w:tcW w:w="6892"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atLeast"/>
              <w:ind w:left="-12" w:leftChars="-8" w:hanging="5" w:hangingChars="3"/>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根据信息安全等保标准结合信息安全业界标准的checklist，以人工检查的方式对主机操作系统及其上数据库、中间件以及网络设备和安全设备等系统安全配置进行检查，并根据检查的结果修改相应配置从而提升系统自身的安全防御能力。包括</w:t>
            </w:r>
          </w:p>
          <w:p>
            <w:pPr>
              <w:pStyle w:val="24"/>
              <w:widowControl w:val="0"/>
              <w:numPr>
                <w:ilvl w:val="0"/>
                <w:numId w:val="7"/>
              </w:numPr>
              <w:adjustRightInd w:val="0"/>
              <w:spacing w:after="0" w:line="240" w:lineRule="atLeast"/>
              <w:ind w:left="-11" w:hanging="8" w:firstLineChars="0"/>
              <w:jc w:val="both"/>
              <w:textAlignment w:val="baseline"/>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操作系统安全配置核查与加固</w:t>
            </w:r>
          </w:p>
          <w:p>
            <w:pPr>
              <w:pStyle w:val="24"/>
              <w:widowControl w:val="0"/>
              <w:numPr>
                <w:ilvl w:val="0"/>
                <w:numId w:val="7"/>
              </w:numPr>
              <w:adjustRightInd w:val="0"/>
              <w:spacing w:after="0" w:line="240" w:lineRule="atLeast"/>
              <w:ind w:left="-11" w:hanging="8" w:firstLineChars="0"/>
              <w:jc w:val="both"/>
              <w:textAlignment w:val="baseline"/>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数据库安全配置核查与加固</w:t>
            </w:r>
          </w:p>
          <w:p>
            <w:pPr>
              <w:pStyle w:val="24"/>
              <w:widowControl w:val="0"/>
              <w:numPr>
                <w:ilvl w:val="0"/>
                <w:numId w:val="7"/>
              </w:numPr>
              <w:adjustRightInd w:val="0"/>
              <w:spacing w:after="0" w:line="240" w:lineRule="atLeast"/>
              <w:ind w:left="-11" w:hanging="8" w:firstLineChars="0"/>
              <w:jc w:val="both"/>
              <w:textAlignment w:val="baseline"/>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中间件安全配置核查与加固</w:t>
            </w:r>
          </w:p>
          <w:p>
            <w:pPr>
              <w:pStyle w:val="24"/>
              <w:widowControl w:val="0"/>
              <w:numPr>
                <w:ilvl w:val="0"/>
                <w:numId w:val="7"/>
              </w:numPr>
              <w:adjustRightInd w:val="0"/>
              <w:spacing w:after="0" w:line="240" w:lineRule="atLeast"/>
              <w:ind w:left="-11" w:hanging="8" w:firstLineChars="0"/>
              <w:jc w:val="both"/>
              <w:textAlignment w:val="baseline"/>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网络设备安全配置核查与加固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网络架构安全分析及整改服务</w:t>
            </w:r>
          </w:p>
        </w:tc>
        <w:tc>
          <w:tcPr>
            <w:tcW w:w="6892"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360"/>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定期对现有的网络架构进行分析，对存在的故障隐患点、不合理节点等进行建议整改；安全分析内容及方向可包含如下：</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）硬件设备分析：硬件设备是有使用期的，硬件故障率会随着时间推移显著增加，老化的设备能耗大、性能差、稳定性差。需要对硬件设备运行情况分析，并提出整改建议。</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）网络架构合理性分析及整改：对网络架构布局、安全域划分、网络地址、网络流量分配等合理性进行分析及整改。</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）安全域防护分析：对各安全域的网络安全防护措施及有效性进行分析。</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）迁移或升级的规划</w:t>
            </w:r>
            <w:r>
              <w:rPr>
                <w:rFonts w:hint="eastAsia" w:asciiTheme="minorEastAsia" w:hAnsiTheme="minorEastAsia" w:eastAsiaTheme="minorEastAsia" w:cstheme="minorEastAsia"/>
                <w:color w:val="000000" w:themeColor="text1"/>
                <w:sz w:val="18"/>
                <w:szCs w:val="18"/>
                <w14:textFill>
                  <w14:solidFill>
                    <w14:schemeClr w14:val="tx1"/>
                  </w14:solidFill>
                </w14:textFill>
              </w:rPr>
              <w:t>：根据需求提供网络的迁移或升级规划，包括风险评估与应对、网络升级、安全升级等方面的规划。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等保安全整改指导</w:t>
            </w:r>
          </w:p>
        </w:tc>
        <w:tc>
          <w:tcPr>
            <w:tcW w:w="6892"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0" w:firstLineChars="0"/>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根据等级保护测评结果，通过安全工程师专业的分析，提交相关的安全整改报告，指出单位核心等级保护系统所存在的不符合项和风险问题所在，协助并指导对系统进行漏洞、安全配置、管理制度等方面的安全整改并最终通过等保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应急演练</w:t>
            </w:r>
          </w:p>
        </w:tc>
        <w:tc>
          <w:tcPr>
            <w:tcW w:w="6892"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0" w:firstLineChars="0"/>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根据应急预案，配合编写应急演练方案，确保应急预案可以适应信息系统的最新情况和外部的最新安全威胁，强化应急相关工作人员的应急操作水平，最终实现应急人员、应急预案和应急操作的协调，在安全事件发生后迅速采取措施和行动，其目的是最快速恢复系统的保密性、完整性和可用性，降低安全威胁事件给系统带来的严重影响，提升单位的应急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完善安全管理制度服务</w:t>
            </w:r>
          </w:p>
        </w:tc>
        <w:tc>
          <w:tcPr>
            <w:tcW w:w="6892"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60" w:firstLineChars="20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根据风险评估、等保测评结果，按照单位要求对安全管理制度和规范流程进行梳理和调整，保障信息安全管理得到有效执行和部分管理风险得到有效控制。本工作贯穿于整个服务期，通过分析现有制度所对应的规范流程中不够完善的方面，如管理制度、操作规程、作业指导书等，及时进行调整改善，不断深化信息安全保障体系建设，推动信息安全工作的贯彻落实。</w:t>
            </w:r>
          </w:p>
        </w:tc>
      </w:tr>
    </w:tbl>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四、响应要求</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1.说明：</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1.1供应商须对本项目的货物及服务进行整体响应，任何只对其中一部分内容进行的响应都被视为无效投标。</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1.2本项目采购本国产品。</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2.供应商应具备《中华人民共和国政府采购法》第二十二条规定的条件，提供以下材料：</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2.1 有效的企业法人营业执照（或事业法人登记证）或者其他组织的营业执照复印件。提供银行出具的资信证明材料复印件；供应商为新成立的，提供成立至今的月或季度财务状况报告复印件。</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2.2响应截止前六个月内任意一个月缴纳税收的凭据证明材料复印件；如依法免税的，应提供相应文件证明其依法免税；</w:t>
      </w:r>
    </w:p>
    <w:p>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3.有效期内相应产品的经营许可证复印件；</w:t>
      </w:r>
    </w:p>
    <w:p>
      <w:pPr>
        <w:rPr>
          <w:rFonts w:asciiTheme="minorEastAsia" w:hAnsiTheme="minorEastAsia" w:eastAsiaTheme="minorEastAsia" w:cstheme="minorEastAsia"/>
          <w:color w:val="000000" w:themeColor="text1"/>
          <w14:textFill>
            <w14:solidFill>
              <w14:schemeClr w14:val="tx1"/>
            </w14:solidFill>
          </w14:textFill>
        </w:rPr>
      </w:pP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五、交货要求：</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1.在供货期内，所供应货物如需国家强制性认证的，供货时必须同时提供相应产品证书（提供承诺书）。</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2.交货时间：合同签订后15个工作日内。</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3.交货地点：广纺公司指定地点。</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4.供应商在广州市设有长期固定的服务机构，提供可靠的货物售后服务保障，提供正常的备品备件等项目的服务。</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5.货物在交货时须提供该批次的出厂合格证书。。</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6.投标人提交的产品质量符合国家标准。</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7.供货价：供货价为中标价。</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8.配送要求：产品由成交供应商直接配送，或经采购人同意后委托有资质代理商进行配送。</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9.产品应按有关要求进行包装并采用适当的运输方式运抵合同交货地点；货物的装卸、搬运由成交供应商负责，采购人无义务提供装卸工具。</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10.成交供应商提供的货物必须是全新的（包括所有零配件、专用工具等），表面无划伤，无碰撞，各项技术参数完全符合本招标文件用户需求书的要求。</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11.成交供应商交货时须随附货物清单，且必须提供：货物原出厂产品合格证和相关所投产品的认证证书等有效证明文件。</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12.质保期、售后服务：</w:t>
      </w:r>
    </w:p>
    <w:p>
      <w:pPr>
        <w:pStyle w:val="20"/>
        <w:adjustRightInd w:val="0"/>
        <w:snapToGrid w:val="0"/>
        <w:spacing w:line="360" w:lineRule="auto"/>
        <w:ind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12.1成交供应商应将其提供的合同货物运抵现场，并经验收合格方可交付采购人。</w:t>
      </w:r>
    </w:p>
    <w:p>
      <w:pPr>
        <w:pStyle w:val="20"/>
        <w:adjustRightInd w:val="0"/>
        <w:snapToGrid w:val="0"/>
        <w:spacing w:line="360" w:lineRule="auto"/>
        <w:ind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12.2成交供应商按合同交付货物给采购人时，保修服务期不得少于供应商投标的时间。</w:t>
      </w:r>
    </w:p>
    <w:p>
      <w:pPr>
        <w:pStyle w:val="20"/>
        <w:adjustRightInd w:val="0"/>
        <w:snapToGrid w:val="0"/>
        <w:spacing w:line="360" w:lineRule="auto"/>
        <w:ind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12.3质保期内正常使用下，因非人为因素损坏的，成交供应商应在收到有关通知后，一周内予以更换，质保期内全部服务费和更换货物的费用由成交供应商承担。</w:t>
      </w:r>
    </w:p>
    <w:p>
      <w:pPr>
        <w:pStyle w:val="20"/>
        <w:adjustRightInd w:val="0"/>
        <w:snapToGrid w:val="0"/>
        <w:spacing w:line="360" w:lineRule="auto"/>
        <w:ind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12.4质保期内成交供应商须进行质量“三包”。质保期后，成交供应商应继续为合同货物的使用，提供终身技术支持，包括更换、维修。</w:t>
      </w:r>
    </w:p>
    <w:p>
      <w:pPr>
        <w:pStyle w:val="20"/>
        <w:adjustRightInd w:val="0"/>
        <w:snapToGrid w:val="0"/>
        <w:spacing w:line="360" w:lineRule="auto"/>
        <w:ind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12.5成交供应商必须设有售后服务电话热线，保证在接到故障电话后及时响应用户，在收到服务要求时2小时内有专人答复，1 天内有专职工作人员到达现场解决。</w:t>
      </w:r>
    </w:p>
    <w:p>
      <w:pPr>
        <w:pStyle w:val="20"/>
        <w:adjustRightInd w:val="0"/>
        <w:snapToGrid w:val="0"/>
        <w:spacing w:line="360" w:lineRule="auto"/>
        <w:ind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12.6如货物经采购人确定不能达到合同约定的质量标准或厂家的质量标准或检验标准的要求,采购人有权退货,并依法追究成交供应商的违约责任。</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六、验收</w:t>
      </w:r>
    </w:p>
    <w:p>
      <w:pPr>
        <w:pStyle w:val="20"/>
        <w:numPr>
          <w:ilvl w:val="0"/>
          <w:numId w:val="8"/>
        </w:numPr>
        <w:adjustRightInd w:val="0"/>
        <w:snapToGrid w:val="0"/>
        <w:spacing w:line="360" w:lineRule="auto"/>
        <w:ind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验收方法按本项目的技术要求进行。货物质控要求符合采购人的技术参数标准或其他有效方法判断标准要求。</w:t>
      </w:r>
    </w:p>
    <w:p>
      <w:pPr>
        <w:pStyle w:val="20"/>
        <w:numPr>
          <w:ilvl w:val="0"/>
          <w:numId w:val="8"/>
        </w:numPr>
        <w:adjustRightInd w:val="0"/>
        <w:snapToGrid w:val="0"/>
        <w:spacing w:line="360" w:lineRule="auto"/>
        <w:ind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对不合格的产品，采购人有权退回成交供应商，所产生的有关费用由成交供应商承担，采购人不予支付任何费用。</w:t>
      </w:r>
    </w:p>
    <w:p>
      <w:pPr>
        <w:pStyle w:val="20"/>
        <w:numPr>
          <w:ilvl w:val="0"/>
          <w:numId w:val="8"/>
        </w:numPr>
        <w:adjustRightInd w:val="0"/>
        <w:snapToGrid w:val="0"/>
        <w:spacing w:line="360" w:lineRule="auto"/>
        <w:ind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对于不能在收到货物时当场进行验收的货物，采购人在使用过程中发现有质量问题的，成交供应商需在5个工作日内无条件换货或退货。</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七、付款方式</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 货物到采购人指定地点交付并完成验收后，凭以下有效文件原件由采购人支付实际供货货款。成交供应商向采购人提供：</w:t>
      </w:r>
    </w:p>
    <w:p>
      <w:pPr>
        <w:adjustRightInd w:val="0"/>
        <w:snapToGrid w:val="0"/>
        <w:spacing w:line="360" w:lineRule="auto"/>
        <w:ind w:firstLine="105" w:firstLineChars="5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1.1合同；</w:t>
      </w:r>
    </w:p>
    <w:p>
      <w:pPr>
        <w:adjustRightInd w:val="0"/>
        <w:snapToGrid w:val="0"/>
        <w:spacing w:line="360" w:lineRule="auto"/>
        <w:ind w:firstLine="105" w:firstLineChars="5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1.2与货物相应金额的增值税专用发票；</w:t>
      </w:r>
    </w:p>
    <w:p>
      <w:pPr>
        <w:adjustRightInd w:val="0"/>
        <w:snapToGrid w:val="0"/>
        <w:spacing w:line="360" w:lineRule="auto"/>
        <w:ind w:firstLine="105" w:firstLineChars="5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1.3验收报告；</w:t>
      </w:r>
    </w:p>
    <w:p>
      <w:pPr>
        <w:adjustRightInd w:val="0"/>
        <w:snapToGrid w:val="0"/>
        <w:spacing w:line="360" w:lineRule="auto"/>
        <w:ind w:firstLine="105" w:firstLineChars="50"/>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1.4销售单、送货单等证明交易的依据；</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2.服务方面，采购人信息系统通过等级保护验收测评后，并获得等保测评报告和相关证书后由采购人支付服务费用。</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 付款方式：采用支票、银行汇付（含电汇）等形式。在收到成交供应商上述资料后，由采购人向成交供应商支付相应的金额</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八、其他需注意的事项</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1.在合同有效期内成交供应商在本合同项下提交产品和履行服务的价格应该按供货价格。</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2.包装均应有良好的防湿、防锈、防潮、防雨、防腐及防碰撞的措施。凡由于包装不良造成的损失和由此产生的费用均由成交供应商承担</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3.货物对温度条件有要求的，必须确保运输全过程中冷链条件，且安排货物必须在工作日到达用户方，否则造成的货物质量问题，成交供应商必须在接到通知后在3日内无条件进行更换。</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4.产品质量问题处理</w:t>
      </w:r>
    </w:p>
    <w:p>
      <w:pPr>
        <w:pStyle w:val="20"/>
        <w:numPr>
          <w:ilvl w:val="0"/>
          <w:numId w:val="9"/>
        </w:numPr>
        <w:adjustRightInd w:val="0"/>
        <w:snapToGrid w:val="0"/>
        <w:spacing w:line="360" w:lineRule="auto"/>
        <w:ind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当货物使用过程中出现质量问题时，成交供应商应及时解决有问题的产品。产品质量未解决之前，采购人有权要求供应商提供备用产品使用。</w:t>
      </w:r>
    </w:p>
    <w:p>
      <w:pPr>
        <w:pStyle w:val="20"/>
        <w:numPr>
          <w:ilvl w:val="0"/>
          <w:numId w:val="9"/>
        </w:numPr>
        <w:adjustRightInd w:val="0"/>
        <w:snapToGrid w:val="0"/>
        <w:spacing w:line="360" w:lineRule="auto"/>
        <w:ind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以上处理质量问题产生的运费由成交供应商承担。</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九、中选供应商责任及义务</w:t>
      </w:r>
    </w:p>
    <w:p>
      <w:pPr>
        <w:pStyle w:val="20"/>
        <w:numPr>
          <w:ilvl w:val="0"/>
          <w:numId w:val="10"/>
        </w:numPr>
        <w:adjustRightInd w:val="0"/>
        <w:snapToGrid w:val="0"/>
        <w:spacing w:line="360" w:lineRule="auto"/>
        <w:ind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须具有满足采购人产品需求的供应能力。不论采购人路程远近及采购数量和金额多少，均应按合同保证供货。</w:t>
      </w:r>
    </w:p>
    <w:p>
      <w:pPr>
        <w:pStyle w:val="20"/>
        <w:numPr>
          <w:ilvl w:val="0"/>
          <w:numId w:val="10"/>
        </w:numPr>
        <w:adjustRightInd w:val="0"/>
        <w:snapToGrid w:val="0"/>
        <w:spacing w:line="360" w:lineRule="auto"/>
        <w:ind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配送要求：产品由中选供应商直接配送，或经采购人同意后委托有资质代理商进行配送。</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tabs>
          <w:tab w:val="left" w:pos="851"/>
        </w:tabs>
        <w:adjustRightInd w:val="0"/>
        <w:snapToGrid w:val="0"/>
        <w:spacing w:line="560" w:lineRule="exact"/>
        <w:jc w:val="center"/>
        <w:rPr>
          <w:rFonts w:asciiTheme="minorEastAsia" w:hAnsiTheme="minorEastAsia" w:eastAsiaTheme="minorEastAsia" w:cstheme="minorEastAsia"/>
          <w:b/>
          <w:color w:val="000000" w:themeColor="text1"/>
          <w:sz w:val="44"/>
          <w:szCs w:val="44"/>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r>
        <w:rPr>
          <w:rFonts w:hint="eastAsia" w:asciiTheme="minorEastAsia" w:hAnsiTheme="minorEastAsia" w:eastAsiaTheme="minorEastAsia" w:cstheme="minorEastAsia"/>
          <w:color w:val="000000" w:themeColor="text1"/>
          <w:sz w:val="44"/>
          <w:szCs w:val="44"/>
          <w14:textFill>
            <w14:solidFill>
              <w14:schemeClr w14:val="tx1"/>
            </w14:solidFill>
          </w14:textFill>
        </w:rPr>
        <w:t xml:space="preserve">第三章 </w:t>
      </w:r>
      <w:r>
        <w:rPr>
          <w:rFonts w:hint="eastAsia" w:asciiTheme="minorEastAsia" w:hAnsiTheme="minorEastAsia" w:eastAsiaTheme="minorEastAsia" w:cstheme="minorEastAsia"/>
          <w:b/>
          <w:color w:val="000000" w:themeColor="text1"/>
          <w:sz w:val="44"/>
          <w:szCs w:val="44"/>
          <w14:textFill>
            <w14:solidFill>
              <w14:schemeClr w14:val="tx1"/>
            </w14:solidFill>
          </w14:textFill>
        </w:rPr>
        <w:t>评审方式及程序</w:t>
      </w:r>
    </w:p>
    <w:p>
      <w:pPr>
        <w:pStyle w:val="20"/>
        <w:numPr>
          <w:ilvl w:val="255"/>
          <w:numId w:val="0"/>
        </w:numPr>
        <w:adjustRightInd w:val="0"/>
        <w:snapToGrid w:val="0"/>
        <w:spacing w:line="360" w:lineRule="auto"/>
        <w:ind w:left="420"/>
        <w:jc w:val="center"/>
        <w:rPr>
          <w:rFonts w:asciiTheme="minorEastAsia" w:hAnsiTheme="minorEastAsia" w:eastAsiaTheme="minorEastAsia" w:cstheme="minorEastAsia"/>
          <w:b/>
          <w:bCs/>
          <w:color w:val="000000" w:themeColor="text1"/>
          <w:sz w:val="28"/>
          <w:szCs w:val="28"/>
          <w14:textFill>
            <w14:solidFill>
              <w14:schemeClr w14:val="tx1"/>
            </w14:solidFill>
          </w14:textFill>
        </w:rPr>
      </w:pPr>
    </w:p>
    <w:p>
      <w:pPr>
        <w:adjustRightInd w:val="0"/>
        <w:snapToGrid w:val="0"/>
        <w:spacing w:line="360" w:lineRule="auto"/>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numPr>
          <w:ilvl w:val="0"/>
          <w:numId w:val="11"/>
        </w:numPr>
        <w:spacing w:line="360" w:lineRule="auto"/>
        <w:ind w:left="567" w:hanging="27"/>
        <w:outlineLvl w:val="1"/>
        <w:rPr>
          <w:rFonts w:asciiTheme="minorEastAsia" w:hAnsiTheme="minorEastAsia" w:eastAsiaTheme="minorEastAsia" w:cstheme="minorEastAsia"/>
          <w:b/>
          <w:bCs/>
          <w:color w:val="000000" w:themeColor="text1"/>
          <w14:textFill>
            <w14:solidFill>
              <w14:schemeClr w14:val="tx1"/>
            </w14:solidFill>
          </w14:textFill>
        </w:rPr>
      </w:pPr>
      <w:bookmarkStart w:id="35" w:name="_Toc42394513"/>
      <w:bookmarkEnd w:id="35"/>
      <w:bookmarkStart w:id="36" w:name="_Toc42394669"/>
      <w:bookmarkEnd w:id="36"/>
      <w:bookmarkStart w:id="37" w:name="_Toc98580289"/>
      <w:bookmarkEnd w:id="37"/>
      <w:bookmarkStart w:id="38" w:name="_Toc98579007"/>
      <w:bookmarkEnd w:id="38"/>
      <w:bookmarkStart w:id="39" w:name="_Toc98579606"/>
      <w:bookmarkEnd w:id="39"/>
      <w:bookmarkStart w:id="40" w:name="_Toc50276153"/>
      <w:bookmarkEnd w:id="40"/>
      <w:bookmarkStart w:id="41" w:name="_Toc98579065"/>
      <w:r>
        <w:rPr>
          <w:rFonts w:hint="eastAsia" w:asciiTheme="minorEastAsia" w:hAnsiTheme="minorEastAsia" w:eastAsiaTheme="minorEastAsia" w:cstheme="minorEastAsia"/>
          <w:b/>
          <w:bCs/>
          <w:color w:val="000000" w:themeColor="text1"/>
          <w14:textFill>
            <w14:solidFill>
              <w14:schemeClr w14:val="tx1"/>
            </w14:solidFill>
          </w14:textFill>
        </w:rPr>
        <w:t>评审小组</w:t>
      </w:r>
      <w:bookmarkEnd w:id="41"/>
    </w:p>
    <w:p>
      <w:pPr>
        <w:spacing w:line="360" w:lineRule="auto"/>
        <w:ind w:left="425"/>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评审小组成员由</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综合部、</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质量保证部、检验二部的人员</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共</w:t>
      </w:r>
      <w:r>
        <w:rPr>
          <w:rFonts w:hint="eastAsia" w:asciiTheme="minorEastAsia" w:hAnsiTheme="minorEastAsia" w:eastAsiaTheme="minorEastAsia" w:cstheme="minorEastAsia"/>
          <w:color w:val="000000" w:themeColor="text1"/>
          <w:sz w:val="24"/>
          <w:szCs w:val="24"/>
          <w14:textFill>
            <w14:solidFill>
              <w14:schemeClr w14:val="tx1"/>
            </w14:solidFill>
          </w14:textFill>
        </w:rPr>
        <w:t>3人。</w:t>
      </w:r>
    </w:p>
    <w:p>
      <w:pPr>
        <w:numPr>
          <w:ilvl w:val="0"/>
          <w:numId w:val="11"/>
        </w:numPr>
        <w:spacing w:line="360" w:lineRule="auto"/>
        <w:ind w:left="567" w:hanging="27"/>
        <w:outlineLvl w:val="1"/>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评审流程</w:t>
      </w:r>
    </w:p>
    <w:p>
      <w:pPr>
        <w:adjustRightInd w:val="0"/>
        <w:snapToGrid w:val="0"/>
        <w:spacing w:line="360" w:lineRule="auto"/>
        <w:ind w:firstLine="525" w:firstLineChars="25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采购实施部门收集响应文件,广纺公司监督小组拆封响应文件，经项目专项评审小组评审后，，选取得分最高的为中选单位。</w:t>
      </w:r>
    </w:p>
    <w:p>
      <w:pPr>
        <w:numPr>
          <w:ilvl w:val="0"/>
          <w:numId w:val="11"/>
        </w:numPr>
        <w:spacing w:line="360" w:lineRule="auto"/>
        <w:ind w:left="567" w:hanging="27"/>
        <w:outlineLvl w:val="1"/>
        <w:rPr>
          <w:rFonts w:asciiTheme="minorEastAsia" w:hAnsiTheme="minorEastAsia" w:eastAsiaTheme="minorEastAsia" w:cstheme="minorEastAsia"/>
          <w:b/>
          <w:bCs/>
          <w:color w:val="000000" w:themeColor="text1"/>
          <w14:textFill>
            <w14:solidFill>
              <w14:schemeClr w14:val="tx1"/>
            </w14:solidFill>
          </w14:textFill>
        </w:rPr>
      </w:pPr>
      <w:bookmarkStart w:id="42" w:name="_Toc435514845"/>
      <w:bookmarkEnd w:id="42"/>
      <w:bookmarkStart w:id="43" w:name="_Toc463018932"/>
      <w:r>
        <w:rPr>
          <w:rFonts w:hint="eastAsia" w:asciiTheme="minorEastAsia" w:hAnsiTheme="minorEastAsia" w:eastAsiaTheme="minorEastAsia" w:cstheme="minorEastAsia"/>
          <w:b/>
          <w:bCs/>
          <w:color w:val="000000" w:themeColor="text1"/>
          <w14:textFill>
            <w14:solidFill>
              <w14:schemeClr w14:val="tx1"/>
            </w14:solidFill>
          </w14:textFill>
        </w:rPr>
        <w:t>资格、符合性评审条款</w:t>
      </w:r>
      <w:bookmarkEnd w:id="43"/>
    </w:p>
    <w:tbl>
      <w:tblPr>
        <w:tblStyle w:val="8"/>
        <w:tblW w:w="91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686" w:type="dxa"/>
            <w:tcBorders>
              <w:top w:val="single" w:color="auto" w:sz="12"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序号</w:t>
            </w:r>
          </w:p>
        </w:tc>
        <w:tc>
          <w:tcPr>
            <w:tcW w:w="8483" w:type="dxa"/>
            <w:tcBorders>
              <w:top w:val="single" w:color="auto" w:sz="12" w:space="0"/>
              <w:left w:val="nil"/>
              <w:bottom w:val="single" w:color="auto" w:sz="4" w:space="0"/>
              <w:right w:val="single" w:color="auto" w:sz="12"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86"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w:t>
            </w:r>
          </w:p>
        </w:tc>
        <w:tc>
          <w:tcPr>
            <w:tcW w:w="8483" w:type="dxa"/>
            <w:tcBorders>
              <w:top w:val="single" w:color="auto" w:sz="4" w:space="0"/>
              <w:left w:val="nil"/>
              <w:bottom w:val="single" w:color="auto" w:sz="4" w:space="0"/>
              <w:right w:val="single" w:color="auto" w:sz="12" w:space="0"/>
            </w:tcBorders>
            <w:vAlign w:val="center"/>
          </w:tcPr>
          <w:p>
            <w:pPr>
              <w:adjustRightInd w:val="0"/>
              <w:snapToGrid w:val="0"/>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按照采购文件规定要求签署、盖章且文件有法定代表人签署本人姓名（或印盖本人姓名章），或签署人有法定代表人有效授权书的；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86"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w:t>
            </w:r>
          </w:p>
        </w:tc>
        <w:tc>
          <w:tcPr>
            <w:tcW w:w="8483" w:type="dxa"/>
            <w:tcBorders>
              <w:top w:val="single" w:color="auto" w:sz="4" w:space="0"/>
              <w:left w:val="nil"/>
              <w:bottom w:val="single" w:color="auto" w:sz="4" w:space="0"/>
              <w:right w:val="single" w:color="auto" w:sz="12" w:space="0"/>
            </w:tcBorders>
            <w:vAlign w:val="center"/>
          </w:tcPr>
          <w:p>
            <w:pPr>
              <w:adjustRightInd w:val="0"/>
              <w:snapToGrid w:val="0"/>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响应报价未超过采购内容的限价范围；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86"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w:t>
            </w:r>
          </w:p>
        </w:tc>
        <w:tc>
          <w:tcPr>
            <w:tcW w:w="8483" w:type="dxa"/>
            <w:tcBorders>
              <w:top w:val="single" w:color="auto" w:sz="4" w:space="0"/>
              <w:left w:val="nil"/>
              <w:bottom w:val="single" w:color="auto" w:sz="4" w:space="0"/>
              <w:right w:val="single" w:color="auto" w:sz="12" w:space="0"/>
            </w:tcBorders>
            <w:vAlign w:val="center"/>
          </w:tcPr>
          <w:p>
            <w:pPr>
              <w:adjustRightInd w:val="0"/>
              <w:snapToGrid w:val="0"/>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响应文件没有采购文件中规定的其它无效投标条款的；</w:t>
            </w:r>
          </w:p>
        </w:tc>
      </w:tr>
    </w:tbl>
    <w:p>
      <w:pPr>
        <w:spacing w:line="360" w:lineRule="auto"/>
        <w:ind w:left="425"/>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numPr>
          <w:ilvl w:val="0"/>
          <w:numId w:val="11"/>
        </w:numPr>
        <w:spacing w:line="360" w:lineRule="auto"/>
        <w:ind w:left="567" w:hanging="27"/>
        <w:outlineLvl w:val="1"/>
        <w:rPr>
          <w:rFonts w:asciiTheme="minorEastAsia" w:hAnsiTheme="minorEastAsia" w:eastAsiaTheme="minorEastAsia" w:cstheme="minorEastAsia"/>
          <w:b/>
          <w:bCs/>
          <w:color w:val="000000" w:themeColor="text1"/>
          <w14:textFill>
            <w14:solidFill>
              <w14:schemeClr w14:val="tx1"/>
            </w14:solidFill>
          </w14:textFill>
        </w:rPr>
      </w:pPr>
      <w:bookmarkStart w:id="44" w:name="_Toc401575154"/>
      <w:bookmarkEnd w:id="44"/>
      <w:bookmarkStart w:id="45" w:name="_Toc403491570"/>
      <w:bookmarkEnd w:id="45"/>
      <w:r>
        <w:rPr>
          <w:rFonts w:hint="eastAsia" w:asciiTheme="minorEastAsia" w:hAnsiTheme="minorEastAsia" w:eastAsiaTheme="minorEastAsia" w:cstheme="minorEastAsia"/>
          <w:b/>
          <w:bCs/>
          <w:color w:val="000000" w:themeColor="text1"/>
          <w14:textFill>
            <w14:solidFill>
              <w14:schemeClr w14:val="tx1"/>
            </w14:solidFill>
          </w14:textFill>
        </w:rPr>
        <w:t>评审方法</w:t>
      </w:r>
    </w:p>
    <w:p>
      <w:pPr>
        <w:spacing w:line="360" w:lineRule="auto"/>
        <w:ind w:left="425"/>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本次评价采用综合评分法。以采购文件规定的条件为依据。评分比重构成如下：</w:t>
      </w:r>
    </w:p>
    <w:tbl>
      <w:tblPr>
        <w:tblStyle w:val="8"/>
        <w:tblW w:w="65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29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2158" w:type="dxa"/>
            <w:tcBorders>
              <w:top w:val="single" w:color="auto" w:sz="12"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技术部分</w:t>
            </w:r>
          </w:p>
        </w:tc>
        <w:tc>
          <w:tcPr>
            <w:tcW w:w="2297" w:type="dxa"/>
            <w:tcBorders>
              <w:top w:val="single" w:color="auto" w:sz="12" w:space="0"/>
              <w:left w:val="nil"/>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商务部分</w:t>
            </w:r>
          </w:p>
        </w:tc>
        <w:tc>
          <w:tcPr>
            <w:tcW w:w="2097" w:type="dxa"/>
            <w:tcBorders>
              <w:top w:val="single" w:color="auto" w:sz="12" w:space="0"/>
              <w:left w:val="nil"/>
              <w:bottom w:val="single" w:color="auto" w:sz="4" w:space="0"/>
              <w:right w:val="single" w:color="auto" w:sz="12"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2158" w:type="dxa"/>
            <w:tcBorders>
              <w:top w:val="single" w:color="auto" w:sz="4" w:space="0"/>
              <w:left w:val="single" w:color="auto" w:sz="12" w:space="0"/>
              <w:bottom w:val="single" w:color="auto" w:sz="12" w:space="0"/>
              <w:righ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45</w:t>
            </w:r>
          </w:p>
        </w:tc>
        <w:tc>
          <w:tcPr>
            <w:tcW w:w="2297" w:type="dxa"/>
            <w:tcBorders>
              <w:top w:val="single" w:color="auto" w:sz="4" w:space="0"/>
              <w:left w:val="nil"/>
              <w:bottom w:val="single" w:color="auto" w:sz="12" w:space="0"/>
              <w:righ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15</w:t>
            </w:r>
          </w:p>
        </w:tc>
        <w:tc>
          <w:tcPr>
            <w:tcW w:w="2097" w:type="dxa"/>
            <w:tcBorders>
              <w:top w:val="single" w:color="auto" w:sz="4" w:space="0"/>
              <w:left w:val="nil"/>
              <w:bottom w:val="single" w:color="auto" w:sz="12" w:space="0"/>
              <w:right w:val="single" w:color="auto" w:sz="12"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40</w:t>
            </w:r>
          </w:p>
        </w:tc>
      </w:tr>
    </w:tbl>
    <w:p>
      <w:pPr>
        <w:adjustRightInd w:val="0"/>
        <w:snapToGri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1、技术部分评分</w:t>
      </w:r>
    </w:p>
    <w:tbl>
      <w:tblPr>
        <w:tblStyle w:val="8"/>
        <w:tblW w:w="966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9"/>
        <w:gridCol w:w="2088"/>
        <w:gridCol w:w="68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4" w:hRule="atLeast"/>
          <w:jc w:val="center"/>
        </w:trPr>
        <w:tc>
          <w:tcPr>
            <w:tcW w:w="709" w:type="dxa"/>
            <w:tcBorders>
              <w:top w:val="single" w:color="auto" w:sz="12" w:space="0"/>
              <w:left w:val="single" w:color="auto" w:sz="12"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序号</w:t>
            </w:r>
          </w:p>
        </w:tc>
        <w:tc>
          <w:tcPr>
            <w:tcW w:w="2088" w:type="dxa"/>
            <w:tcBorders>
              <w:top w:val="single" w:color="auto" w:sz="12" w:space="0"/>
              <w:left w:val="nil"/>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评审项目</w:t>
            </w:r>
          </w:p>
        </w:tc>
        <w:tc>
          <w:tcPr>
            <w:tcW w:w="6872" w:type="dxa"/>
            <w:tcBorders>
              <w:top w:val="single" w:color="auto" w:sz="12" w:space="0"/>
              <w:left w:val="nil"/>
              <w:bottom w:val="single" w:color="auto" w:sz="8"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评分范围</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”和“]”的数值表示包含在所在区间内，“（”和“）”表示不包含所在区间内）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2"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w:t>
            </w:r>
          </w:p>
        </w:tc>
        <w:tc>
          <w:tcPr>
            <w:tcW w:w="2088" w:type="dxa"/>
            <w:tcBorders>
              <w:top w:val="single" w:color="auto" w:sz="8" w:space="0"/>
              <w:left w:val="nil"/>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堡垒机10（分）</w:t>
            </w:r>
          </w:p>
        </w:tc>
        <w:tc>
          <w:tcPr>
            <w:tcW w:w="6872" w:type="dxa"/>
            <w:tcBorders>
              <w:top w:val="single" w:color="auto" w:sz="8" w:space="0"/>
              <w:left w:val="nil"/>
              <w:bottom w:val="single" w:color="auto" w:sz="8"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技术参数全部符合并最优得9-10分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对比次之得4-8分，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对比最差得1-35分。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技术参数不符合得0分。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2"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w:t>
            </w:r>
          </w:p>
        </w:tc>
        <w:tc>
          <w:tcPr>
            <w:tcW w:w="2088" w:type="dxa"/>
            <w:tcBorders>
              <w:top w:val="single" w:color="auto" w:sz="8" w:space="0"/>
              <w:left w:val="nil"/>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日志审计系统&lt;10分&gt;</w:t>
            </w:r>
          </w:p>
        </w:tc>
        <w:tc>
          <w:tcPr>
            <w:tcW w:w="6872" w:type="dxa"/>
            <w:tcBorders>
              <w:top w:val="single" w:color="auto" w:sz="8" w:space="0"/>
              <w:left w:val="nil"/>
              <w:bottom w:val="single" w:color="auto" w:sz="8"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技术参数全部符合并最优得9-10分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对比次之得4-8分，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对比最差得1-35分。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技术参数不符合得0分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24"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p>
        </w:tc>
        <w:tc>
          <w:tcPr>
            <w:tcW w:w="2088" w:type="dxa"/>
            <w:tcBorders>
              <w:top w:val="single" w:color="auto" w:sz="8" w:space="0"/>
              <w:left w:val="nil"/>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Web防火墙</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&lt;10分&gt;</w:t>
            </w:r>
          </w:p>
        </w:tc>
        <w:tc>
          <w:tcPr>
            <w:tcW w:w="6872" w:type="dxa"/>
            <w:tcBorders>
              <w:top w:val="single" w:color="auto" w:sz="8" w:space="0"/>
              <w:left w:val="nil"/>
              <w:bottom w:val="single" w:color="auto" w:sz="8"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技术参数全部符合并最优得9-10分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对比次之得4-8分，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对比最差得1-35分。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技术参数不符合得0分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8"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4</w:t>
            </w:r>
          </w:p>
        </w:tc>
        <w:tc>
          <w:tcPr>
            <w:tcW w:w="2088" w:type="dxa"/>
            <w:tcBorders>
              <w:top w:val="single" w:color="auto" w:sz="8" w:space="0"/>
              <w:left w:val="nil"/>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SSL VPN</w:t>
            </w:r>
            <w:r>
              <w:rPr>
                <w:rFonts w:hint="eastAsia" w:asciiTheme="minorEastAsia" w:hAnsiTheme="minorEastAsia" w:eastAsiaTheme="minorEastAsia" w:cstheme="minorEastAsia"/>
                <w:color w:val="000000" w:themeColor="text1"/>
                <w:sz w:val="18"/>
                <w:szCs w:val="18"/>
                <w14:textFill>
                  <w14:solidFill>
                    <w14:schemeClr w14:val="tx1"/>
                  </w14:solidFill>
                </w14:textFill>
              </w:rPr>
              <w:tab/>
            </w:r>
            <w:r>
              <w:rPr>
                <w:rFonts w:hint="eastAsia" w:asciiTheme="minorEastAsia" w:hAnsiTheme="minorEastAsia" w:eastAsiaTheme="minorEastAsia" w:cstheme="minorEastAsia"/>
                <w:color w:val="000000" w:themeColor="text1"/>
                <w:sz w:val="18"/>
                <w:szCs w:val="18"/>
                <w14:textFill>
                  <w14:solidFill>
                    <w14:schemeClr w14:val="tx1"/>
                  </w14:solidFill>
                </w14:textFill>
              </w:rPr>
              <w:t>&lt;5分&gt;</w:t>
            </w:r>
          </w:p>
        </w:tc>
        <w:tc>
          <w:tcPr>
            <w:tcW w:w="6872" w:type="dxa"/>
            <w:tcBorders>
              <w:top w:val="single" w:color="auto" w:sz="8" w:space="0"/>
              <w:left w:val="nil"/>
              <w:bottom w:val="single" w:color="auto" w:sz="8"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技术参数全部符合并最优得5分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对比次之得4分，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对比最差得1-3分。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技术参数不符合或部份符合得0分。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8"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w:t>
            </w:r>
          </w:p>
        </w:tc>
        <w:tc>
          <w:tcPr>
            <w:tcW w:w="2088" w:type="dxa"/>
            <w:tcBorders>
              <w:top w:val="single" w:color="auto" w:sz="8" w:space="0"/>
              <w:left w:val="nil"/>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安全测评服务5分</w:t>
            </w:r>
          </w:p>
        </w:tc>
        <w:tc>
          <w:tcPr>
            <w:tcW w:w="6872" w:type="dxa"/>
            <w:tcBorders>
              <w:top w:val="single" w:color="auto" w:sz="8" w:space="0"/>
              <w:left w:val="nil"/>
              <w:bottom w:val="single" w:color="auto" w:sz="8"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有相关安全测评资质服务商得2-5分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无资质得0-1分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8"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w:t>
            </w:r>
          </w:p>
        </w:tc>
        <w:tc>
          <w:tcPr>
            <w:tcW w:w="2088" w:type="dxa"/>
            <w:tcBorders>
              <w:top w:val="single" w:color="auto" w:sz="8" w:space="0"/>
              <w:left w:val="nil"/>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安全加固服务5分</w:t>
            </w:r>
          </w:p>
        </w:tc>
        <w:tc>
          <w:tcPr>
            <w:tcW w:w="6872" w:type="dxa"/>
            <w:tcBorders>
              <w:top w:val="single" w:color="auto" w:sz="8" w:space="0"/>
              <w:left w:val="nil"/>
              <w:bottom w:val="single" w:color="auto" w:sz="8"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有相关信息系统安全运维服务资质认证书得2-5分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无资质得0-1分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8" w:hRule="atLeast"/>
          <w:jc w:val="center"/>
        </w:trPr>
        <w:tc>
          <w:tcPr>
            <w:tcW w:w="2797" w:type="dxa"/>
            <w:gridSpan w:val="2"/>
            <w:tcBorders>
              <w:top w:val="single" w:color="auto" w:sz="8" w:space="0"/>
              <w:left w:val="single" w:color="auto" w:sz="12" w:space="0"/>
              <w:bottom w:val="single" w:color="auto" w:sz="12"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合计</w:t>
            </w:r>
          </w:p>
        </w:tc>
        <w:tc>
          <w:tcPr>
            <w:tcW w:w="6872" w:type="dxa"/>
            <w:tcBorders>
              <w:top w:val="single" w:color="auto" w:sz="8" w:space="0"/>
              <w:left w:val="nil"/>
              <w:bottom w:val="single" w:color="auto" w:sz="12"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45分</w:t>
            </w:r>
          </w:p>
        </w:tc>
      </w:tr>
    </w:tbl>
    <w:p>
      <w:pPr>
        <w:adjustRightInd w:val="0"/>
        <w:snapToGri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备注：将每一个评委的评分汇总，进行算术平均，得出该响应人的技术评分（按四舍五入原则精确到小数点后2位）。</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2、商务部分评分</w:t>
      </w:r>
    </w:p>
    <w:tbl>
      <w:tblPr>
        <w:tblStyle w:val="8"/>
        <w:tblW w:w="9627"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09"/>
        <w:gridCol w:w="1985"/>
        <w:gridCol w:w="69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2" w:hRule="atLeast"/>
          <w:jc w:val="center"/>
        </w:trPr>
        <w:tc>
          <w:tcPr>
            <w:tcW w:w="709" w:type="dxa"/>
            <w:tcBorders>
              <w:top w:val="single" w:color="auto" w:sz="12" w:space="0"/>
              <w:left w:val="single" w:color="auto" w:sz="12"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序号</w:t>
            </w:r>
          </w:p>
        </w:tc>
        <w:tc>
          <w:tcPr>
            <w:tcW w:w="1985" w:type="dxa"/>
            <w:tcBorders>
              <w:top w:val="single" w:color="auto" w:sz="12" w:space="0"/>
              <w:left w:val="single" w:color="auto" w:sz="8"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评审项目</w:t>
            </w:r>
          </w:p>
        </w:tc>
        <w:tc>
          <w:tcPr>
            <w:tcW w:w="6933" w:type="dxa"/>
            <w:tcBorders>
              <w:top w:val="single" w:color="auto" w:sz="12" w:space="0"/>
              <w:left w:val="single" w:color="auto" w:sz="8" w:space="0"/>
              <w:bottom w:val="single" w:color="auto" w:sz="8"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评分范围</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 “[ ”和“]”的数值表示包含在所在区间内，“（”和“）”表示不包含所在区间内）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805"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numPr>
                <w:ilvl w:val="0"/>
                <w:numId w:val="12"/>
              </w:num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响应人综合实力</w:t>
            </w:r>
          </w:p>
          <w:p>
            <w:pPr>
              <w:widowControl/>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&lt;9分&gt;</w:t>
            </w:r>
          </w:p>
        </w:tc>
        <w:tc>
          <w:tcPr>
            <w:tcW w:w="6933" w:type="dxa"/>
            <w:tcBorders>
              <w:top w:val="single" w:color="auto" w:sz="8" w:space="0"/>
              <w:left w:val="single" w:color="auto" w:sz="8" w:space="0"/>
              <w:bottom w:val="single" w:color="auto" w:sz="8" w:space="0"/>
              <w:right w:val="single" w:color="auto" w:sz="12" w:space="0"/>
            </w:tcBorders>
            <w:vAlign w:val="center"/>
          </w:tcPr>
          <w:p>
            <w:pPr>
              <w:widowControl/>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综合比较所有响应人的组织架构、业务水平、服务效率、服务质量、业内口碑、履约能力、企业信誉：</w:t>
            </w:r>
          </w:p>
          <w:p>
            <w:pPr>
              <w:widowControl/>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优（5-7]分；良 (3-5]分；一般 [0-3]分。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245"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numPr>
                <w:ilvl w:val="0"/>
                <w:numId w:val="12"/>
              </w:num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985"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201</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18"/>
                <w:szCs w:val="18"/>
                <w14:textFill>
                  <w14:solidFill>
                    <w14:schemeClr w14:val="tx1"/>
                  </w14:solidFill>
                </w14:textFill>
              </w:rPr>
              <w:t>年至今同类项目业绩</w:t>
            </w:r>
          </w:p>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&lt;6分&gt;</w:t>
            </w:r>
          </w:p>
        </w:tc>
        <w:tc>
          <w:tcPr>
            <w:tcW w:w="6933" w:type="dxa"/>
            <w:tcBorders>
              <w:top w:val="single" w:color="auto" w:sz="8" w:space="0"/>
              <w:left w:val="single" w:color="auto" w:sz="8" w:space="0"/>
              <w:bottom w:val="single" w:color="auto" w:sz="8" w:space="0"/>
              <w:right w:val="single" w:color="auto" w:sz="12" w:space="0"/>
            </w:tcBorders>
            <w:vAlign w:val="center"/>
          </w:tcPr>
          <w:p>
            <w:pPr>
              <w:widowControl/>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每提供同类项目合同一份得1分，最高分为5分。</w:t>
            </w:r>
          </w:p>
          <w:p>
            <w:pPr>
              <w:widowControl/>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（提供合同复印件作为同类业绩评价证明资料，提供的合同是完整的，不能有涂改，否则视为无效。）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17" w:hRule="atLeast"/>
          <w:jc w:val="center"/>
        </w:trPr>
        <w:tc>
          <w:tcPr>
            <w:tcW w:w="2694" w:type="dxa"/>
            <w:gridSpan w:val="2"/>
            <w:tcBorders>
              <w:top w:val="single" w:color="auto" w:sz="8" w:space="0"/>
              <w:left w:val="single" w:color="auto" w:sz="12" w:space="0"/>
              <w:bottom w:val="single" w:color="auto" w:sz="12" w:space="0"/>
              <w:right w:val="single" w:color="auto" w:sz="8" w:space="0"/>
            </w:tcBorders>
            <w:vAlign w:val="center"/>
          </w:tcPr>
          <w:p>
            <w:pPr>
              <w:ind w:left="-63" w:leftChars="-30" w:right="-88" w:rightChars="-42"/>
              <w:jc w:val="center"/>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合计</w:t>
            </w:r>
          </w:p>
        </w:tc>
        <w:tc>
          <w:tcPr>
            <w:tcW w:w="6933" w:type="dxa"/>
            <w:tcBorders>
              <w:top w:val="single" w:color="auto" w:sz="8" w:space="0"/>
              <w:left w:val="single" w:color="auto" w:sz="8" w:space="0"/>
              <w:bottom w:val="single" w:color="auto" w:sz="12" w:space="0"/>
              <w:right w:val="single" w:color="auto" w:sz="12" w:space="0"/>
            </w:tcBorders>
            <w:vAlign w:val="center"/>
          </w:tcPr>
          <w:p>
            <w:pPr>
              <w:jc w:val="center"/>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15分</w:t>
            </w:r>
          </w:p>
        </w:tc>
      </w:tr>
    </w:tbl>
    <w:p>
      <w:pPr>
        <w:snapToGrid w:val="0"/>
        <w:spacing w:line="360" w:lineRule="auto"/>
        <w:ind w:left="210" w:leftChars="10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备注：1、将每一个评委的评分汇总，进行算术平均，得出该响应人的商务评分（按四舍五入原则精确到小数点后2位）。</w:t>
      </w:r>
    </w:p>
    <w:p>
      <w:pPr>
        <w:snapToGrid w:val="0"/>
        <w:spacing w:line="360" w:lineRule="auto"/>
        <w:ind w:left="420" w:leftChars="200" w:firstLine="42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2、</w:t>
      </w:r>
      <w:r>
        <w:rPr>
          <w:rFonts w:hint="eastAsia" w:asciiTheme="minorEastAsia" w:hAnsiTheme="minorEastAsia" w:eastAsiaTheme="minorEastAsia" w:cstheme="minorEastAsia"/>
          <w:color w:val="000000" w:themeColor="text1"/>
          <w14:textFill>
            <w14:solidFill>
              <w14:schemeClr w14:val="tx1"/>
            </w14:solidFill>
          </w14:textFill>
        </w:rPr>
        <w:t>采购文件要求提交的与评价指标体系相关的各类有效资料，响应人如未按要求提交的，该项评分为零分。</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3、价格部分评分</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综合评分法中的价格分统一采用低价优先法计算，即满足采购文件要求（通过资格性、符合性审查）且响应价格最低的有效响应报价（指价格核准后的价格，下同）为评标基准价，其价格分为满分。其他响应人的价格分统一按照下列公式计算：</w:t>
      </w:r>
      <w:bookmarkStart w:id="114" w:name="_GoBack"/>
      <w:bookmarkEnd w:id="114"/>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报价得分=(评标基准价/投标报价)×价格权值×100</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备注：报价得分四舍五入后，小数点后保留两位有效数；</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bookmarkStart w:id="46" w:name="_Toc463018937"/>
      <w:bookmarkEnd w:id="46"/>
      <w:bookmarkStart w:id="47" w:name="_Toc435514851"/>
      <w:bookmarkEnd w:id="47"/>
      <w:bookmarkStart w:id="48" w:name="_Toc435115056"/>
      <w:r>
        <w:rPr>
          <w:rFonts w:hint="eastAsia" w:asciiTheme="minorEastAsia" w:hAnsiTheme="minorEastAsia" w:eastAsiaTheme="minorEastAsia" w:cstheme="minorEastAsia"/>
          <w:color w:val="000000" w:themeColor="text1"/>
          <w14:textFill>
            <w14:solidFill>
              <w14:schemeClr w14:val="tx1"/>
            </w14:solidFill>
          </w14:textFill>
        </w:rPr>
        <w:t>4、综合评分的计算</w:t>
      </w:r>
      <w:bookmarkEnd w:id="48"/>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4.1综合评分=技术评分+商务评分+价格评分</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4.2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审小组抽签决定。  </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jc w:val="left"/>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br w:type="page"/>
      </w:r>
    </w:p>
    <w:p>
      <w:pPr>
        <w:adjustRightInd w:val="0"/>
        <w:snapToGrid w:val="0"/>
        <w:spacing w:line="360" w:lineRule="auto"/>
        <w:jc w:val="center"/>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第四章  响应文件</w:t>
      </w:r>
    </w:p>
    <w:p>
      <w:pPr>
        <w:adjustRightInd w:val="0"/>
        <w:snapToGrid w:val="0"/>
        <w:spacing w:line="360" w:lineRule="auto"/>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一、响应文件要求</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1.全部响应文</w:t>
      </w:r>
      <w:r>
        <w:rPr>
          <w:rFonts w:hint="eastAsia" w:asciiTheme="minorEastAsia" w:hAnsiTheme="minorEastAsia" w:eastAsiaTheme="minorEastAsia" w:cstheme="minorEastAsia"/>
          <w:color w:val="000000" w:themeColor="text1"/>
          <w:highlight w:val="yellow"/>
          <w14:textFill>
            <w14:solidFill>
              <w14:schemeClr w14:val="tx1"/>
            </w14:solidFill>
          </w14:textFill>
        </w:rPr>
        <w:t>件一式</w:t>
      </w:r>
      <w:r>
        <w:rPr>
          <w:rFonts w:hint="eastAsia" w:asciiTheme="minorEastAsia" w:hAnsiTheme="minorEastAsia" w:eastAsiaTheme="minorEastAsia" w:cstheme="minorEastAsia"/>
          <w:color w:val="000000" w:themeColor="text1"/>
          <w:highlight w:val="yellow"/>
          <w:lang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yellow"/>
          <w14:textFill>
            <w14:solidFill>
              <w14:schemeClr w14:val="tx1"/>
            </w14:solidFill>
          </w14:textFill>
        </w:rPr>
        <w:t>份，其中正本一份，副本</w:t>
      </w:r>
      <w:r>
        <w:rPr>
          <w:rFonts w:hint="eastAsia" w:asciiTheme="minorEastAsia" w:hAnsiTheme="minorEastAsia" w:eastAsiaTheme="minorEastAsia" w:cstheme="minorEastAsia"/>
          <w:color w:val="000000" w:themeColor="text1"/>
          <w:highlight w:val="yellow"/>
          <w:lang w:eastAsia="zh-CN"/>
          <w14:textFill>
            <w14:solidFill>
              <w14:schemeClr w14:val="tx1"/>
            </w14:solidFill>
          </w14:textFill>
        </w:rPr>
        <w:t>三</w:t>
      </w:r>
      <w:r>
        <w:rPr>
          <w:rFonts w:hint="eastAsia" w:asciiTheme="minorEastAsia" w:hAnsiTheme="minorEastAsia" w:eastAsiaTheme="minorEastAsia" w:cstheme="minorEastAsia"/>
          <w:color w:val="000000" w:themeColor="text1"/>
          <w:highlight w:val="yellow"/>
          <w14:textFill>
            <w14:solidFill>
              <w14:schemeClr w14:val="tx1"/>
            </w14:solidFill>
          </w14:textFill>
        </w:rPr>
        <w:t>份。</w:t>
      </w:r>
      <w:r>
        <w:rPr>
          <w:rFonts w:hint="eastAsia" w:asciiTheme="minorEastAsia" w:hAnsiTheme="minorEastAsia" w:eastAsiaTheme="minorEastAsia" w:cstheme="minorEastAsia"/>
          <w:color w:val="000000" w:themeColor="text1"/>
          <w14:textFill>
            <w14:solidFill>
              <w14:schemeClr w14:val="tx1"/>
            </w14:solidFill>
          </w14:textFill>
        </w:rPr>
        <w:t>所有响应文件应用A4规格纸打印（图纸可按其他规格），并装订成册。响应文件于封面注明“正本”和“副本”。如果正本与副本不符，应以正本为准。响应文件应由响应人的合法授权代表正式签署，任何更改（如果有的话）应由原签署人签字。所有不完整的响应将被拒绝。无论响应结果如何，响应人的全部响应文件均不退回。</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2.响应人应对响应内容提供完整的详细的技术（服务）说明，如响应人对指定的技术（服务）要求建议做任何改动，应在响应文件中清楚地注明。</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3.响应人资格文件视为响应文件不可分割的一部分。</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4.所有响应文件应在响应截止时间前送达评审地点，并交予采购人，任何迟于截止时间的响应为无效响应。</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5.采购人不接受电报、电话、电传、传真等非约定形式响应。</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二、响应文件格式参考</w:t>
      </w:r>
    </w:p>
    <w:p>
      <w:pPr>
        <w:adjustRightInd w:val="0"/>
        <w:snapToGrid w:val="0"/>
        <w:spacing w:line="360" w:lineRule="auto"/>
        <w:jc w:val="center"/>
        <w:rPr>
          <w:rFonts w:asciiTheme="minorEastAsia" w:hAnsiTheme="minorEastAsia" w:eastAsiaTheme="minorEastAsia" w:cstheme="minorEastAsia"/>
          <w:b/>
          <w:bCs/>
          <w:color w:val="000000" w:themeColor="text1"/>
          <w14:textFill>
            <w14:solidFill>
              <w14:schemeClr w14:val="tx1"/>
            </w14:solidFill>
          </w14:textFill>
        </w:rPr>
      </w:pPr>
      <w:bookmarkStart w:id="49" w:name="_Toc435515292"/>
      <w:bookmarkEnd w:id="49"/>
      <w:bookmarkStart w:id="50" w:name="_Toc435514852"/>
      <w:bookmarkEnd w:id="50"/>
      <w:r>
        <w:rPr>
          <w:rFonts w:hint="eastAsia" w:asciiTheme="minorEastAsia" w:hAnsiTheme="minorEastAsia" w:eastAsiaTheme="minorEastAsia" w:cstheme="minorEastAsia"/>
          <w:b/>
          <w:bCs/>
          <w:color w:val="000000" w:themeColor="text1"/>
          <w14:textFill>
            <w14:solidFill>
              <w14:schemeClr w14:val="tx1"/>
            </w14:solidFill>
          </w14:textFill>
        </w:rPr>
        <w:t>响应文件包装封面参考</w:t>
      </w:r>
    </w:p>
    <w:tbl>
      <w:tblPr>
        <w:tblStyle w:val="8"/>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727" w:hRule="atLeast"/>
        </w:trPr>
        <w:tc>
          <w:tcPr>
            <w:tcW w:w="9018" w:type="dxa"/>
            <w:tcBorders>
              <w:top w:val="single" w:color="auto" w:sz="4" w:space="0"/>
              <w:left w:val="single" w:color="auto" w:sz="4" w:space="0"/>
              <w:bottom w:val="single" w:color="auto" w:sz="4" w:space="0"/>
              <w:right w:val="single" w:color="auto" w:sz="4" w:space="0"/>
            </w:tcBorders>
          </w:tcPr>
          <w:p>
            <w:pPr>
              <w:spacing w:after="120" w:line="360" w:lineRule="auto"/>
              <w:ind w:firstLine="482" w:firstLineChars="150"/>
              <w:rPr>
                <w:rFonts w:asciiTheme="minorEastAsia" w:hAnsiTheme="minorEastAsia" w:eastAsiaTheme="minorEastAsia" w:cstheme="minorEastAsia"/>
                <w:b/>
                <w:bCs/>
                <w:color w:val="000000" w:themeColor="text1"/>
                <w:sz w:val="32"/>
                <w:szCs w:val="32"/>
                <w14:textFill>
                  <w14:solidFill>
                    <w14:schemeClr w14:val="tx1"/>
                  </w14:solidFill>
                </w14:textFill>
              </w:rPr>
            </w:pPr>
          </w:p>
          <w:p>
            <w:pPr>
              <w:spacing w:after="120" w:line="360" w:lineRule="auto"/>
              <w:ind w:firstLine="482" w:firstLineChars="150"/>
              <w:rPr>
                <w:rFonts w:asciiTheme="minorEastAsia" w:hAnsiTheme="minorEastAsia" w:eastAsiaTheme="minorEastAsia" w:cstheme="minorEastAsia"/>
                <w:b/>
                <w:bCs/>
                <w:color w:val="000000" w:themeColor="text1"/>
                <w:sz w:val="32"/>
                <w:szCs w:val="32"/>
                <w14:textFill>
                  <w14:solidFill>
                    <w14:schemeClr w14:val="tx1"/>
                  </w14:solidFill>
                </w14:textFill>
              </w:rPr>
            </w:pPr>
          </w:p>
          <w:p>
            <w:pPr>
              <w:spacing w:after="120" w:line="360" w:lineRule="auto"/>
              <w:ind w:firstLine="482" w:firstLineChars="150"/>
              <w:rPr>
                <w:rFonts w:asciiTheme="minorEastAsia" w:hAnsiTheme="minorEastAsia" w:eastAsiaTheme="minorEastAsia" w:cstheme="minorEastAsia"/>
                <w:b/>
                <w:bCs/>
                <w:color w:val="000000" w:themeColor="text1"/>
                <w:sz w:val="32"/>
                <w:szCs w:val="32"/>
                <w14:textFill>
                  <w14:solidFill>
                    <w14:schemeClr w14:val="tx1"/>
                  </w14:solidFill>
                </w14:textFill>
              </w:rPr>
            </w:pPr>
          </w:p>
          <w:p>
            <w:pPr>
              <w:spacing w:after="120" w:line="360" w:lineRule="auto"/>
              <w:jc w:val="center"/>
              <w:rPr>
                <w:rFonts w:asciiTheme="minorEastAsia" w:hAnsiTheme="minorEastAsia" w:eastAsiaTheme="minorEastAsia" w:cstheme="minorEastAsia"/>
                <w:b/>
                <w:bCs/>
                <w:color w:val="000000" w:themeColor="text1"/>
                <w:sz w:val="72"/>
                <w:szCs w:val="72"/>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14:textFill>
                  <w14:solidFill>
                    <w14:schemeClr w14:val="tx1"/>
                  </w14:solidFill>
                </w14:textFill>
              </w:rPr>
              <w:t>响 应 文 件</w:t>
            </w:r>
          </w:p>
          <w:p>
            <w:pPr>
              <w:spacing w:after="120" w:line="360" w:lineRule="auto"/>
              <w:ind w:firstLine="3398" w:firstLineChars="651"/>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14:textFill>
                  <w14:solidFill>
                    <w14:schemeClr w14:val="tx1"/>
                  </w14:solidFill>
                </w14:textFill>
              </w:rPr>
              <w:t xml:space="preserve">口 </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开标信封</w:t>
            </w:r>
          </w:p>
          <w:p>
            <w:pPr>
              <w:spacing w:after="120" w:line="360" w:lineRule="auto"/>
              <w:ind w:firstLine="3398" w:firstLineChars="651"/>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14:textFill>
                  <w14:solidFill>
                    <w14:schemeClr w14:val="tx1"/>
                  </w14:solidFill>
                </w14:textFill>
              </w:rPr>
              <w:t xml:space="preserve">口 </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正本</w:t>
            </w:r>
          </w:p>
          <w:p>
            <w:pPr>
              <w:spacing w:after="120" w:line="360" w:lineRule="auto"/>
              <w:ind w:firstLine="3398" w:firstLineChars="651"/>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14:textFill>
                  <w14:solidFill>
                    <w14:schemeClr w14:val="tx1"/>
                  </w14:solidFill>
                </w14:textFill>
              </w:rPr>
              <w:t xml:space="preserve">口 </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副本</w:t>
            </w:r>
          </w:p>
          <w:p>
            <w:pPr>
              <w:spacing w:after="120" w:line="360" w:lineRule="auto"/>
              <w:rPr>
                <w:rFonts w:asciiTheme="minorEastAsia" w:hAnsiTheme="minorEastAsia" w:eastAsiaTheme="minorEastAsia" w:cstheme="minorEastAsia"/>
                <w:b/>
                <w:bCs/>
                <w:color w:val="000000" w:themeColor="text1"/>
                <w:sz w:val="32"/>
                <w:szCs w:val="32"/>
                <w14:textFill>
                  <w14:solidFill>
                    <w14:schemeClr w14:val="tx1"/>
                  </w14:solidFill>
                </w14:textFill>
              </w:rPr>
            </w:pPr>
          </w:p>
          <w:p>
            <w:pPr>
              <w:spacing w:after="120" w:line="360" w:lineRule="auto"/>
              <w:rPr>
                <w:rFonts w:asciiTheme="minorEastAsia" w:hAnsiTheme="minorEastAsia" w:eastAsiaTheme="minorEastAsia" w:cstheme="minorEastAsia"/>
                <w:b/>
                <w:bCs/>
                <w:color w:val="000000" w:themeColor="text1"/>
                <w:sz w:val="32"/>
                <w:szCs w:val="32"/>
                <w14:textFill>
                  <w14:solidFill>
                    <w14:schemeClr w14:val="tx1"/>
                  </w14:solidFill>
                </w14:textFill>
              </w:rPr>
            </w:pPr>
          </w:p>
          <w:p>
            <w:pPr>
              <w:spacing w:after="120" w:line="360" w:lineRule="auto"/>
              <w:rPr>
                <w:rFonts w:asciiTheme="minorEastAsia" w:hAnsiTheme="minorEastAsia" w:eastAsiaTheme="minorEastAsia" w:cstheme="minorEastAsia"/>
                <w:b/>
                <w:bCs/>
                <w:color w:val="000000" w:themeColor="text1"/>
                <w:sz w:val="32"/>
                <w:szCs w:val="32"/>
                <w14:textFill>
                  <w14:solidFill>
                    <w14:schemeClr w14:val="tx1"/>
                  </w14:solidFill>
                </w14:textFill>
              </w:rPr>
            </w:pPr>
          </w:p>
          <w:p>
            <w:pPr>
              <w:spacing w:after="120" w:line="400" w:lineRule="exact"/>
              <w:ind w:firstLine="900" w:firstLineChars="320"/>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项目名称：广纺公司信息安全建设项目</w:t>
            </w:r>
          </w:p>
          <w:p>
            <w:pPr>
              <w:spacing w:after="120" w:line="400" w:lineRule="exact"/>
              <w:ind w:firstLine="900" w:firstLineChars="320"/>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投标人名称：</w:t>
            </w:r>
          </w:p>
          <w:p>
            <w:pPr>
              <w:spacing w:after="120" w:line="400" w:lineRule="exact"/>
              <w:ind w:firstLine="900" w:firstLineChars="320"/>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投标人地址：</w:t>
            </w:r>
          </w:p>
          <w:p>
            <w:pPr>
              <w:autoSpaceDE w:val="0"/>
              <w:autoSpaceDN w:val="0"/>
              <w:adjustRightInd w:val="0"/>
              <w:snapToGrid w:val="0"/>
              <w:spacing w:line="420" w:lineRule="auto"/>
              <w:jc w:val="center"/>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(年月日时分)之前不得启封</w:t>
            </w:r>
          </w:p>
        </w:tc>
      </w:tr>
    </w:tbl>
    <w:p>
      <w:pPr>
        <w:adjustRightInd w:val="0"/>
        <w:snapToGrid w:val="0"/>
        <w:spacing w:before="156" w:line="360" w:lineRule="auto"/>
        <w:rPr>
          <w:rFonts w:asciiTheme="minorEastAsia" w:hAnsiTheme="minorEastAsia" w:eastAsiaTheme="minorEastAsia" w:cstheme="minorEastAsia"/>
          <w:color w:val="000000" w:themeColor="text1"/>
          <w:kern w:val="0"/>
          <w:sz w:val="32"/>
          <w:szCs w:val="32"/>
          <w14:textFill>
            <w14:solidFill>
              <w14:schemeClr w14:val="tx1"/>
            </w14:solidFill>
          </w14:textFill>
        </w:rPr>
      </w:pPr>
      <w:bookmarkStart w:id="51" w:name="_Toc435515293"/>
      <w:bookmarkEnd w:id="51"/>
      <w:bookmarkStart w:id="52" w:name="_Toc435514853"/>
      <w:bookmarkEnd w:id="52"/>
      <w:bookmarkStart w:id="53" w:name="_Toc275865604"/>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xml:space="preserve"> </w:t>
      </w:r>
      <w:bookmarkEnd w:id="53"/>
    </w:p>
    <w:p>
      <w:pPr>
        <w:keepNext/>
        <w:keepLines/>
        <w:spacing w:before="156" w:beforeLines="50" w:line="360" w:lineRule="auto"/>
        <w:jc w:val="center"/>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before="156" w:beforeLines="50" w:line="360" w:lineRule="auto"/>
        <w:jc w:val="center"/>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响应文件目录表</w:t>
      </w:r>
    </w:p>
    <w:p>
      <w:pPr>
        <w:ind w:left="210" w:leftChars="100"/>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说明：响应文件包括但不限于以下组成内容，请按顺序制作，本章有提供格式文件的请按格式要求提交。</w:t>
      </w:r>
    </w:p>
    <w:p>
      <w:pPr>
        <w:ind w:firstLine="210" w:firstLineChars="1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项目名称：广纺公司信息安全建设项目</w:t>
      </w:r>
    </w:p>
    <w:p>
      <w:pPr>
        <w:ind w:firstLine="210" w:firstLineChars="1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tbl>
      <w:tblPr>
        <w:tblStyle w:val="8"/>
        <w:tblW w:w="888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9"/>
        <w:gridCol w:w="547"/>
        <w:gridCol w:w="4584"/>
        <w:gridCol w:w="627"/>
        <w:gridCol w:w="594"/>
        <w:gridCol w:w="637"/>
        <w:gridCol w:w="6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32" w:hRule="atLeast"/>
          <w:jc w:val="center"/>
        </w:trPr>
        <w:tc>
          <w:tcPr>
            <w:tcW w:w="1279" w:type="dxa"/>
            <w:vMerge w:val="restart"/>
            <w:tcBorders>
              <w:top w:val="single" w:color="auto" w:sz="12" w:space="0"/>
              <w:left w:val="single" w:color="auto" w:sz="12"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文件类型</w:t>
            </w:r>
          </w:p>
        </w:tc>
        <w:tc>
          <w:tcPr>
            <w:tcW w:w="547" w:type="dxa"/>
            <w:vMerge w:val="restart"/>
            <w:tcBorders>
              <w:top w:val="single" w:color="auto" w:sz="12" w:space="0"/>
              <w:left w:val="single" w:color="auto" w:sz="6"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序号</w:t>
            </w:r>
          </w:p>
        </w:tc>
        <w:tc>
          <w:tcPr>
            <w:tcW w:w="4584" w:type="dxa"/>
            <w:vMerge w:val="restart"/>
            <w:tcBorders>
              <w:top w:val="single" w:color="auto" w:sz="12" w:space="0"/>
              <w:left w:val="single" w:color="auto" w:sz="6"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文    件    名    称</w:t>
            </w:r>
          </w:p>
        </w:tc>
        <w:tc>
          <w:tcPr>
            <w:tcW w:w="1221" w:type="dxa"/>
            <w:gridSpan w:val="2"/>
            <w:tcBorders>
              <w:top w:val="single" w:color="auto" w:sz="12" w:space="0"/>
              <w:left w:val="single" w:color="auto" w:sz="6"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提交情况</w:t>
            </w:r>
          </w:p>
        </w:tc>
        <w:tc>
          <w:tcPr>
            <w:tcW w:w="637" w:type="dxa"/>
            <w:vMerge w:val="restart"/>
            <w:tcBorders>
              <w:top w:val="single" w:color="auto" w:sz="12" w:space="0"/>
              <w:left w:val="single" w:color="auto" w:sz="6"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页码范围</w:t>
            </w:r>
          </w:p>
        </w:tc>
        <w:tc>
          <w:tcPr>
            <w:tcW w:w="613" w:type="dxa"/>
            <w:vMerge w:val="restart"/>
            <w:tcBorders>
              <w:top w:val="single" w:color="auto" w:sz="12" w:space="0"/>
              <w:left w:val="single" w:color="auto" w:sz="6" w:space="0"/>
              <w:bottom w:val="single" w:color="auto" w:sz="6" w:space="0"/>
              <w:right w:val="single" w:color="auto" w:sz="12" w:space="0"/>
            </w:tcBorders>
            <w:shd w:val="clear" w:color="auto" w:fill="EEECE1"/>
            <w:vAlign w:val="center"/>
          </w:tcPr>
          <w:p>
            <w:pPr>
              <w:adjustRightInd w:val="0"/>
              <w:snapToGrid w:val="0"/>
              <w:ind w:left="-84" w:leftChars="-40" w:right="-84" w:rightChars="-4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2" w:hRule="atLeast"/>
          <w:jc w:val="center"/>
        </w:trPr>
        <w:tc>
          <w:tcPr>
            <w:tcW w:w="127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547" w:type="dxa"/>
            <w:vMerge w:val="continue"/>
            <w:tcBorders>
              <w:top w:val="single" w:color="auto" w:sz="12" w:space="0"/>
              <w:left w:val="single" w:color="auto" w:sz="6"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4584" w:type="dxa"/>
            <w:vMerge w:val="continue"/>
            <w:tcBorders>
              <w:top w:val="single" w:color="auto" w:sz="12" w:space="0"/>
              <w:left w:val="single" w:color="auto" w:sz="6"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627" w:type="dxa"/>
            <w:tcBorders>
              <w:top w:val="single" w:color="auto" w:sz="6" w:space="0"/>
              <w:left w:val="single" w:color="auto" w:sz="6" w:space="0"/>
              <w:bottom w:val="single" w:color="auto" w:sz="6" w:space="0"/>
              <w:right w:val="single" w:color="auto" w:sz="6" w:space="0"/>
            </w:tcBorders>
            <w:shd w:val="clear" w:color="auto" w:fill="EEECE1"/>
            <w:vAlign w:val="center"/>
          </w:tcPr>
          <w:p>
            <w:pPr>
              <w:ind w:left="-84" w:leftChars="-40" w:right="-84" w:rightChars="-4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有</w:t>
            </w:r>
          </w:p>
        </w:tc>
        <w:tc>
          <w:tcPr>
            <w:tcW w:w="594" w:type="dxa"/>
            <w:tcBorders>
              <w:top w:val="single" w:color="auto" w:sz="6" w:space="0"/>
              <w:left w:val="single" w:color="auto" w:sz="6" w:space="0"/>
              <w:bottom w:val="single" w:color="auto" w:sz="6" w:space="0"/>
              <w:right w:val="single" w:color="auto" w:sz="6" w:space="0"/>
            </w:tcBorders>
            <w:shd w:val="clear" w:color="auto" w:fill="EEECE1"/>
            <w:vAlign w:val="center"/>
          </w:tcPr>
          <w:p>
            <w:pPr>
              <w:ind w:left="-84" w:leftChars="-40" w:right="-84" w:rightChars="-4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无</w:t>
            </w:r>
          </w:p>
        </w:tc>
        <w:tc>
          <w:tcPr>
            <w:tcW w:w="637" w:type="dxa"/>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613" w:type="dxa"/>
            <w:vMerge w:val="continue"/>
            <w:tcBorders>
              <w:top w:val="single" w:color="auto" w:sz="12" w:space="0"/>
              <w:left w:val="single" w:color="auto" w:sz="6" w:space="0"/>
              <w:bottom w:val="single" w:color="auto" w:sz="6" w:space="0"/>
              <w:right w:val="single" w:color="auto" w:sz="12" w:space="0"/>
            </w:tcBorders>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ind w:left="-57" w:leftChars="-27" w:right="-69" w:rightChars="-33"/>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初审文件（加盖公章）</w:t>
            </w: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响应函（原件）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有效的企业法人营业执照（或事业法人登记证）或者其他组织的营业执照复印件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供应商如果有名称变更的，应提供由行政主管部门出具的变更证明文件。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响应人资格声明函及附件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法定代表人授权委托书</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法定代表人证明书</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4" w:space="0"/>
              <w:right w:val="single" w:color="auto" w:sz="6" w:space="0"/>
            </w:tcBorders>
            <w:shd w:val="clear" w:color="auto" w:fill="auto"/>
            <w:vAlign w:val="center"/>
          </w:tcPr>
          <w:p>
            <w:pPr>
              <w:numPr>
                <w:ilvl w:val="0"/>
                <w:numId w:val="13"/>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4" w:space="0"/>
              <w:right w:val="single" w:color="auto" w:sz="6" w:space="0"/>
            </w:tcBorders>
            <w:shd w:val="clear" w:color="auto" w:fill="auto"/>
            <w:vAlign w:val="center"/>
          </w:tcPr>
          <w:p>
            <w:pPr>
              <w:adjustRightInd w:val="0"/>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《公平竞争承诺书》原件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ind w:left="-57" w:leftChars="-27" w:right="-69" w:rightChars="-33"/>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响应人应提</w:t>
            </w:r>
          </w:p>
          <w:p>
            <w:pPr>
              <w:ind w:left="-57" w:leftChars="-27" w:right="-69" w:rightChars="-33"/>
              <w:jc w:val="center"/>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交的技术文</w:t>
            </w:r>
          </w:p>
          <w:p>
            <w:pPr>
              <w:ind w:left="-57" w:leftChars="-27" w:right="-69" w:rightChars="-33"/>
              <w:jc w:val="center"/>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件（加盖</w:t>
            </w:r>
          </w:p>
          <w:p>
            <w:pPr>
              <w:ind w:left="-57" w:leftChars="-27" w:right="-69" w:rightChars="-33"/>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公章）</w:t>
            </w:r>
          </w:p>
        </w:tc>
        <w:tc>
          <w:tcPr>
            <w:tcW w:w="547" w:type="dxa"/>
            <w:tcBorders>
              <w:top w:val="single" w:color="auto" w:sz="6" w:space="0"/>
              <w:left w:val="single" w:color="auto" w:sz="6" w:space="0"/>
              <w:bottom w:val="single" w:color="auto" w:sz="4" w:space="0"/>
              <w:right w:val="single" w:color="auto" w:sz="6" w:space="0"/>
            </w:tcBorders>
            <w:shd w:val="clear" w:color="auto" w:fill="auto"/>
            <w:vAlign w:val="center"/>
          </w:tcPr>
          <w:p>
            <w:pPr>
              <w:numPr>
                <w:ilvl w:val="0"/>
                <w:numId w:val="14"/>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响应一览表(报价表)</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4" w:space="0"/>
              <w:left w:val="single" w:color="auto" w:sz="6" w:space="0"/>
              <w:bottom w:val="single" w:color="auto" w:sz="6" w:space="0"/>
              <w:right w:val="single" w:color="auto" w:sz="6" w:space="0"/>
            </w:tcBorders>
            <w:shd w:val="clear" w:color="auto" w:fill="auto"/>
            <w:vAlign w:val="center"/>
          </w:tcPr>
          <w:p>
            <w:pPr>
              <w:numPr>
                <w:ilvl w:val="0"/>
                <w:numId w:val="14"/>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响应货物技术参数响应一览表及其附件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4"/>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w:t>
            </w:r>
            <w:r>
              <w:rPr>
                <w:rFonts w:hint="eastAsia" w:asciiTheme="minorEastAsia" w:hAnsiTheme="minorEastAsia" w:eastAsiaTheme="minorEastAsia" w:cstheme="minorEastAsia"/>
                <w:color w:val="000000" w:themeColor="text1"/>
                <w:kern w:val="0"/>
                <w14:textFill>
                  <w14:solidFill>
                    <w14:schemeClr w14:val="tx1"/>
                  </w14:solidFill>
                </w14:textFill>
              </w:rPr>
              <w:t>货物技术服务方案</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4"/>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响应人认为需要提供的其它说明和资料</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响应人应提交的商务文件（加盖公章）</w:t>
            </w: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响应人基本情况表</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响应人综合实力（从组织架构、业务水平、服务效率、服务质量、业内口碑、履约能力、企业信誉等方面阐述）</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201</w:t>
            </w:r>
            <w:r>
              <w:rPr>
                <w:rFonts w:hint="eastAsia" w:asciiTheme="minorEastAsia" w:hAnsiTheme="minorEastAsia" w:eastAsiaTheme="minorEastAsia" w:cstheme="minorEastAsia"/>
                <w:color w:val="000000" w:themeColor="text1"/>
                <w:kern w:val="0"/>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kern w:val="0"/>
                <w14:textFill>
                  <w14:solidFill>
                    <w14:schemeClr w14:val="tx1"/>
                  </w14:solidFill>
                </w14:textFill>
              </w:rPr>
              <w:t>年至今同类项目业绩情况一览表</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用户满意度评价，</w:t>
            </w:r>
            <w:r>
              <w:rPr>
                <w:rFonts w:hint="eastAsia" w:asciiTheme="minorEastAsia" w:hAnsiTheme="minorEastAsia" w:eastAsiaTheme="minorEastAsia" w:cstheme="minorEastAsia"/>
                <w:color w:val="000000" w:themeColor="text1"/>
                <w14:textFill>
                  <w14:solidFill>
                    <w14:schemeClr w14:val="tx1"/>
                  </w14:solidFill>
                </w14:textFill>
              </w:rPr>
              <w:t>提供相关证明文件复印件（需与“201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14:textFill>
                  <w14:solidFill>
                    <w14:schemeClr w14:val="tx1"/>
                  </w14:solidFill>
                </w14:textFill>
              </w:rPr>
              <w:t>年至今同类项目业绩”的用户一致）</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ind w:left="-63" w:leftChars="-30" w:right="-88" w:rightChars="-42"/>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守合同重信用企业证书复印件和公开信息中查询的路径并打印公布的链接信息资料，公开信息中无法查询或与公开信息不一致的，投标人必须提供发证机构出具的证明函</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ind w:left="-63" w:leftChars="-30" w:right="-88" w:rightChars="-42"/>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相关产品的代理资质证明文件和售后服务体系相关文件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拟投入本项目的团队人员情况</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4"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用户需求商务条款响应一览表</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tcBorders>
              <w:top w:val="single" w:color="auto" w:sz="4" w:space="0"/>
              <w:left w:val="single" w:color="auto" w:sz="12" w:space="0"/>
              <w:bottom w:val="single" w:color="auto" w:sz="12"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4" w:space="0"/>
              <w:left w:val="single" w:color="auto" w:sz="6" w:space="0"/>
              <w:bottom w:val="single" w:color="auto" w:sz="12"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12"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响应人认为需要提供的其他商务资料</w:t>
            </w:r>
          </w:p>
        </w:tc>
        <w:tc>
          <w:tcPr>
            <w:tcW w:w="627" w:type="dxa"/>
            <w:tcBorders>
              <w:top w:val="single" w:color="auto" w:sz="6" w:space="0"/>
              <w:left w:val="single" w:color="auto" w:sz="6" w:space="0"/>
              <w:bottom w:val="single" w:color="auto" w:sz="12"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12"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12"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12"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bl>
    <w:p>
      <w:pPr>
        <w:widowControl/>
        <w:jc w:val="left"/>
        <w:rPr>
          <w:rFonts w:asciiTheme="minorEastAsia" w:hAnsiTheme="minorEastAsia" w:eastAsiaTheme="minorEastAsia" w:cstheme="minorEastAsia"/>
          <w:color w:val="000000" w:themeColor="text1"/>
          <w:sz w:val="28"/>
          <w:szCs w:val="28"/>
          <w14:textFill>
            <w14:solidFill>
              <w14:schemeClr w14:val="tx1"/>
            </w14:solidFill>
          </w14:textFill>
        </w:rPr>
        <w:sectPr>
          <w:pgSz w:w="11906" w:h="16838"/>
          <w:pgMar w:top="1440" w:right="1286" w:bottom="1440" w:left="1440" w:header="720" w:footer="720" w:gutter="0"/>
          <w:cols w:space="720" w:num="1"/>
          <w:docGrid w:type="lines" w:linePitch="312" w:charSpace="0"/>
        </w:sectPr>
      </w:pPr>
    </w:p>
    <w:p>
      <w:pPr>
        <w:spacing w:line="440" w:lineRule="exact"/>
        <w:ind w:left="426"/>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p>
    <w:p>
      <w:pPr>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54" w:name="_Toc275865605"/>
      <w:bookmarkEnd w:id="54"/>
      <w:bookmarkStart w:id="55" w:name="_Toc435515294"/>
      <w:bookmarkEnd w:id="55"/>
      <w:bookmarkStart w:id="56" w:name="_Toc435514854"/>
      <w:r>
        <w:rPr>
          <w:rFonts w:hint="eastAsia" w:asciiTheme="minorEastAsia" w:hAnsiTheme="minorEastAsia" w:eastAsiaTheme="minorEastAsia" w:cstheme="minorEastAsia"/>
          <w:b/>
          <w:bCs/>
          <w:color w:val="000000" w:themeColor="text1"/>
          <w:sz w:val="28"/>
          <w:szCs w:val="28"/>
          <w14:textFill>
            <w14:solidFill>
              <w14:schemeClr w14:val="tx1"/>
            </w14:solidFill>
          </w14:textFill>
        </w:rPr>
        <w:t>响  应  函</w:t>
      </w:r>
      <w:bookmarkEnd w:id="56"/>
    </w:p>
    <w:p>
      <w:pPr>
        <w:spacing w:line="360" w:lineRule="auto"/>
        <w:ind w:left="105" w:leftChars="50" w:firstLine="2"/>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致：广州广检纺织服装服饰检测研究院有限公司</w:t>
      </w:r>
    </w:p>
    <w:p>
      <w:pPr>
        <w:spacing w:line="360" w:lineRule="auto"/>
        <w:ind w:left="105" w:leftChars="50" w:firstLine="373" w:firstLineChars="178"/>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我方确认收到贵方</w:t>
      </w:r>
      <w:r>
        <w:rPr>
          <w:rFonts w:hint="eastAsia" w:asciiTheme="minorEastAsia" w:hAnsiTheme="minorEastAsia" w:eastAsiaTheme="minorEastAsia" w:cstheme="minorEastAsia"/>
          <w:color w:val="000000" w:themeColor="text1"/>
          <w:kern w:val="28"/>
          <w:u w:val="single"/>
          <w14:textFill>
            <w14:solidFill>
              <w14:schemeClr w14:val="tx1"/>
            </w14:solidFill>
          </w14:textFill>
        </w:rPr>
        <w:t xml:space="preserve">           （项目名称）        </w:t>
      </w:r>
      <w:r>
        <w:rPr>
          <w:rFonts w:hint="eastAsia" w:asciiTheme="minorEastAsia" w:hAnsiTheme="minorEastAsia" w:eastAsiaTheme="minorEastAsia" w:cstheme="minorEastAsia"/>
          <w:color w:val="000000" w:themeColor="text1"/>
          <w:kern w:val="28"/>
          <w14:textFill>
            <w14:solidFill>
              <w14:schemeClr w14:val="tx1"/>
            </w14:solidFill>
          </w14:textFill>
        </w:rPr>
        <w:t>采购</w:t>
      </w:r>
      <w:r>
        <w:rPr>
          <w:rFonts w:hint="eastAsia" w:asciiTheme="minorEastAsia" w:hAnsiTheme="minorEastAsia" w:eastAsiaTheme="minorEastAsia" w:cstheme="minorEastAsia"/>
          <w:color w:val="000000" w:themeColor="text1"/>
          <w14:textFill>
            <w14:solidFill>
              <w14:schemeClr w14:val="tx1"/>
            </w14:solidFill>
          </w14:textFill>
        </w:rPr>
        <w:t>货物及相关服务的采购文件（项目编号：），</w:t>
      </w:r>
      <w:r>
        <w:rPr>
          <w:rFonts w:hint="eastAsia" w:asciiTheme="minorEastAsia" w:hAnsiTheme="minorEastAsia" w:eastAsiaTheme="minorEastAsia" w:cstheme="minorEastAsia"/>
          <w:color w:val="000000" w:themeColor="text1"/>
          <w:kern w:val="28"/>
          <w:u w:val="single"/>
          <w14:textFill>
            <w14:solidFill>
              <w14:schemeClr w14:val="tx1"/>
            </w14:solidFill>
          </w14:textFill>
        </w:rPr>
        <w:t xml:space="preserve">      (响应人名称、地址)     </w:t>
      </w:r>
      <w:r>
        <w:rPr>
          <w:rFonts w:hint="eastAsia" w:asciiTheme="minorEastAsia" w:hAnsiTheme="minorEastAsia" w:eastAsiaTheme="minorEastAsia" w:cstheme="minorEastAsia"/>
          <w:color w:val="000000" w:themeColor="text1"/>
          <w14:textFill>
            <w14:solidFill>
              <w14:schemeClr w14:val="tx1"/>
            </w14:solidFill>
          </w14:textFill>
        </w:rPr>
        <w:t>作为响应人已正式授权</w:t>
      </w:r>
      <w:r>
        <w:rPr>
          <w:rFonts w:hint="eastAsia" w:asciiTheme="minorEastAsia" w:hAnsiTheme="minorEastAsia" w:eastAsiaTheme="minorEastAsia" w:cstheme="minorEastAsia"/>
          <w:color w:val="000000" w:themeColor="text1"/>
          <w:kern w:val="28"/>
          <w:u w:val="single"/>
          <w14:textFill>
            <w14:solidFill>
              <w14:schemeClr w14:val="tx1"/>
            </w14:solidFill>
          </w14:textFill>
        </w:rPr>
        <w:t xml:space="preserve">      (被响应人授权代表全名、职务)     </w:t>
      </w:r>
      <w:r>
        <w:rPr>
          <w:rFonts w:hint="eastAsia" w:asciiTheme="minorEastAsia" w:hAnsiTheme="minorEastAsia" w:eastAsiaTheme="minorEastAsia" w:cstheme="minorEastAsia"/>
          <w:color w:val="000000" w:themeColor="text1"/>
          <w14:textFill>
            <w14:solidFill>
              <w14:schemeClr w14:val="tx1"/>
            </w14:solidFill>
          </w14:textFill>
        </w:rPr>
        <w:t>为我方签名代表，签名代表在此声明并同意：</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我们愿意遵守采购文件的各项规定，自愿参加竞选，并已清楚文件的要求及有关文件规定，并严格按照文件的规定履行全部责任和义务。</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我们同意本响应自响应截止之日起</w:t>
      </w:r>
      <w:r>
        <w:rPr>
          <w:rFonts w:hint="eastAsia" w:asciiTheme="minorEastAsia" w:hAnsiTheme="minorEastAsia" w:eastAsiaTheme="minorEastAsia" w:cstheme="minorEastAsia"/>
          <w:b/>
          <w:bCs/>
          <w:color w:val="000000" w:themeColor="text1"/>
          <w:u w:val="single"/>
          <w14:textFill>
            <w14:solidFill>
              <w14:schemeClr w14:val="tx1"/>
            </w14:solidFill>
          </w14:textFill>
        </w:rPr>
        <w:t>90</w:t>
      </w:r>
      <w:r>
        <w:rPr>
          <w:rFonts w:hint="eastAsia" w:asciiTheme="minorEastAsia" w:hAnsiTheme="minorEastAsia" w:eastAsiaTheme="minorEastAsia" w:cstheme="minorEastAsia"/>
          <w:b/>
          <w:bCs/>
          <w:color w:val="000000" w:themeColor="text1"/>
          <w14:textFill>
            <w14:solidFill>
              <w14:schemeClr w14:val="tx1"/>
            </w14:solidFill>
          </w14:textFill>
        </w:rPr>
        <w:t>天内有效。如果我们的响应被接受，则直至合同生效时止，本响应始终有效并不撤回已递交的响应文件。</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我们已经详细地阅读并完全明白了全部采购文件及附件，我们完全理解本文件的要求，我们同意文件不存在任何疑义，贵方享有对文件完全的解释权。</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我们同意提供采购单位要求的有关响应的一切数据或资料。</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我们理解采购单位与评价小组并无义务必须接受最低报价的投标或其它任何投标。</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如果我们未对采购文件全部要求作出实质性响应，则完全同意并接受按无效响应处理。 </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如果我们提供的声明或承诺不真实，则完全同意认定为我司提供虚假材料，并同意作相应处理。</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我们是依法注册的法人，在法律、财务及运作上完全独立于本项目采购人、用户单位（如有）。</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所有有关本次竞选的函电请寄：</w:t>
      </w:r>
      <w:r>
        <w:rPr>
          <w:rFonts w:hint="eastAsia" w:asciiTheme="minorEastAsia" w:hAnsiTheme="minorEastAsia" w:eastAsiaTheme="minorEastAsia" w:cstheme="minorEastAsia"/>
          <w:b/>
          <w:bCs/>
          <w:color w:val="000000" w:themeColor="text1"/>
          <w:u w:val="single"/>
          <w14:textFill>
            <w14:solidFill>
              <w14:schemeClr w14:val="tx1"/>
            </w14:solidFill>
          </w14:textFill>
        </w:rPr>
        <w:t xml:space="preserve">  （响应人地址）   </w:t>
      </w:r>
    </w:p>
    <w:p>
      <w:pPr>
        <w:autoSpaceDE w:val="0"/>
        <w:autoSpaceDN w:val="0"/>
        <w:adjustRightInd w:val="0"/>
        <w:spacing w:line="360" w:lineRule="auto"/>
        <w:ind w:left="420" w:firstLine="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备注：本投标函内容不得擅自删改，否则视为无效响应。 </w:t>
      </w:r>
    </w:p>
    <w:p>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spacing w:val="4"/>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w:t>
      </w:r>
      <w:r>
        <w:rPr>
          <w:rFonts w:hint="eastAsia" w:asciiTheme="minorEastAsia" w:hAnsiTheme="minorEastAsia" w:eastAsiaTheme="minorEastAsia" w:cstheme="minorEastAsia"/>
          <w:color w:val="000000" w:themeColor="text1"/>
          <w14:textFill>
            <w14:solidFill>
              <w14:schemeClr w14:val="tx1"/>
            </w14:solidFill>
          </w14:textFill>
        </w:rPr>
        <w:t>单位盖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p>
    <w:p>
      <w:pPr>
        <w:adjustRightInd w:val="0"/>
        <w:snapToGrid w:val="0"/>
        <w:spacing w:line="360" w:lineRule="auto"/>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法定代表人或响应人授权代表（签署本人姓名或印盖本人姓名章）：</w:t>
      </w: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widowControl/>
        <w:spacing w:line="360" w:lineRule="auto"/>
        <w:jc w:val="left"/>
        <w:rPr>
          <w:rFonts w:asciiTheme="minorEastAsia" w:hAnsiTheme="minorEastAsia" w:eastAsiaTheme="minorEastAsia" w:cstheme="minorEastAsia"/>
          <w:color w:val="000000" w:themeColor="text1"/>
          <w:sz w:val="28"/>
          <w:szCs w:val="28"/>
          <w14:textFill>
            <w14:solidFill>
              <w14:schemeClr w14:val="tx1"/>
            </w14:solidFill>
          </w14:textFill>
        </w:rPr>
        <w:sectPr>
          <w:pgSz w:w="11906" w:h="16838"/>
          <w:pgMar w:top="1440" w:right="1286" w:bottom="1440" w:left="1440" w:header="720" w:footer="720" w:gutter="0"/>
          <w:cols w:space="720" w:num="1"/>
          <w:docGrid w:type="lines" w:linePitch="312" w:charSpace="0"/>
        </w:sectPr>
      </w:pPr>
    </w:p>
    <w:p>
      <w:pPr>
        <w:spacing w:line="440" w:lineRule="exact"/>
        <w:ind w:left="426"/>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p>
    <w:p>
      <w:pPr>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57" w:name="_Toc275865606"/>
      <w:bookmarkEnd w:id="57"/>
      <w:bookmarkStart w:id="58" w:name="_Toc435514855"/>
      <w:bookmarkEnd w:id="58"/>
      <w:bookmarkStart w:id="59" w:name="_Toc435515295"/>
      <w:r>
        <w:rPr>
          <w:rFonts w:hint="eastAsia" w:asciiTheme="minorEastAsia" w:hAnsiTheme="minorEastAsia" w:eastAsiaTheme="minorEastAsia" w:cstheme="minorEastAsia"/>
          <w:b/>
          <w:bCs/>
          <w:color w:val="000000" w:themeColor="text1"/>
          <w:sz w:val="28"/>
          <w:szCs w:val="28"/>
          <w14:textFill>
            <w14:solidFill>
              <w14:schemeClr w14:val="tx1"/>
            </w14:solidFill>
          </w14:textFill>
        </w:rPr>
        <w:t>响应人资格声明函</w:t>
      </w:r>
      <w:bookmarkEnd w:id="59"/>
    </w:p>
    <w:p>
      <w:pPr>
        <w:adjustRightInd w:val="0"/>
        <w:snapToGrid w:val="0"/>
        <w:spacing w:line="360" w:lineRule="auto"/>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广州广检纺织服装服饰检测研究院有限公司：</w:t>
      </w:r>
    </w:p>
    <w:p>
      <w:pPr>
        <w:adjustRightInd w:val="0"/>
        <w:snapToGrid w:val="0"/>
        <w:spacing w:line="360" w:lineRule="auto"/>
        <w:ind w:firstLine="424" w:firstLineChars="20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关于贵公司</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日发布</w:t>
      </w:r>
      <w:r>
        <w:rPr>
          <w:rFonts w:hint="eastAsia" w:asciiTheme="minorEastAsia" w:hAnsiTheme="minorEastAsia" w:eastAsiaTheme="minorEastAsia" w:cstheme="minorEastAsia"/>
          <w:color w:val="000000" w:themeColor="text1"/>
          <w:kern w:val="28"/>
          <w:u w:val="single"/>
          <w14:textFill>
            <w14:solidFill>
              <w14:schemeClr w14:val="tx1"/>
            </w14:solidFill>
          </w14:textFill>
        </w:rPr>
        <w:t>（项目名称）</w:t>
      </w:r>
      <w:r>
        <w:rPr>
          <w:rFonts w:hint="eastAsia" w:asciiTheme="minorEastAsia" w:hAnsiTheme="minorEastAsia" w:eastAsiaTheme="minorEastAsia" w:cstheme="minorEastAsia"/>
          <w:color w:val="000000" w:themeColor="text1"/>
          <w14:textFill>
            <w14:solidFill>
              <w14:schemeClr w14:val="tx1"/>
            </w14:solidFill>
          </w14:textFill>
        </w:rPr>
        <w:t>项目（项目编号：）的采购公告，本公司（企业）愿意参加，并声明：</w:t>
      </w:r>
    </w:p>
    <w:p>
      <w:pPr>
        <w:adjustRightInd w:val="0"/>
        <w:snapToGrid w:val="0"/>
        <w:spacing w:line="360" w:lineRule="auto"/>
        <w:ind w:firstLine="424" w:firstLineChars="20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本公司（企业）具备《中华人民共和国政府采购法》第二十二条资格条件，并已清楚采购文件的要求及有关文件规定。</w:t>
      </w:r>
    </w:p>
    <w:p>
      <w:pPr>
        <w:adjustRightInd w:val="0"/>
        <w:snapToGrid w:val="0"/>
        <w:spacing w:line="360" w:lineRule="auto"/>
        <w:ind w:firstLine="424" w:firstLineChars="20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4" w:firstLineChars="20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本次采购活动中，如有违法、违规、弄虚作假行为，所造成的损失、不良后果及法律责任，一律由我公司（企业）承担。</w:t>
      </w:r>
    </w:p>
    <w:p>
      <w:pPr>
        <w:spacing w:line="360" w:lineRule="auto"/>
        <w:ind w:firstLine="420"/>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特此声明！</w:t>
      </w:r>
    </w:p>
    <w:p>
      <w:pPr>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附件：</w:t>
      </w:r>
    </w:p>
    <w:p>
      <w:pPr>
        <w:pStyle w:val="22"/>
        <w:numPr>
          <w:ilvl w:val="255"/>
          <w:numId w:val="0"/>
        </w:numPr>
        <w:spacing w:line="520" w:lineRule="exact"/>
        <w:ind w:left="708"/>
        <w:rPr>
          <w:rFonts w:ascii="仿宋_GB2312" w:eastAsia="仿宋_GB2312"/>
          <w:sz w:val="32"/>
          <w:szCs w:val="32"/>
        </w:rPr>
      </w:pPr>
      <w:r>
        <w:rPr>
          <w:rFonts w:hint="eastAsia" w:ascii="仿宋_GB2312" w:eastAsia="仿宋_GB2312"/>
          <w:b/>
          <w:sz w:val="32"/>
          <w:szCs w:val="32"/>
        </w:rPr>
        <w:t>信息息安全技术项目实施能力及相关资质证书。</w:t>
      </w:r>
    </w:p>
    <w:p>
      <w:pPr>
        <w:adjustRightInd w:val="0"/>
        <w:snapToGrid w:val="0"/>
        <w:spacing w:line="360" w:lineRule="auto"/>
        <w:ind w:left="425"/>
        <w:rPr>
          <w:rFonts w:asciiTheme="minorEastAsia" w:hAnsiTheme="minorEastAsia" w:eastAsiaTheme="minorEastAsia" w:cstheme="minorEastAsia"/>
          <w:color w:val="000000" w:themeColor="text1"/>
          <w:spacing w:val="4"/>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w:t>
      </w:r>
      <w:r>
        <w:rPr>
          <w:rFonts w:hint="eastAsia" w:asciiTheme="minorEastAsia" w:hAnsiTheme="minorEastAsia" w:eastAsiaTheme="minorEastAsia" w:cstheme="minorEastAsia"/>
          <w:color w:val="000000" w:themeColor="text1"/>
          <w14:textFill>
            <w14:solidFill>
              <w14:schemeClr w14:val="tx1"/>
            </w14:solidFill>
          </w14:textFill>
        </w:rPr>
        <w:t>单位盖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p>
    <w:p>
      <w:pPr>
        <w:adjustRightInd w:val="0"/>
        <w:snapToGrid w:val="0"/>
        <w:spacing w:line="360" w:lineRule="auto"/>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法定代表人或响应人授权代表（签署本人姓名或印盖本人姓名章）：</w:t>
      </w: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numPr>
          <w:ilvl w:val="0"/>
          <w:numId w:val="17"/>
        </w:numPr>
        <w:spacing w:line="440" w:lineRule="exact"/>
        <w:ind w:left="426" w:hanging="426"/>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spacing w:val="4"/>
          <w:u w:val="single"/>
          <w14:textFill>
            <w14:solidFill>
              <w14:schemeClr w14:val="tx1"/>
            </w14:solidFill>
          </w14:textFill>
        </w:rPr>
        <w:br w:type="page"/>
      </w:r>
    </w:p>
    <w:p>
      <w:pPr>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60" w:name="_Toc435515299"/>
      <w:bookmarkEnd w:id="60"/>
      <w:bookmarkStart w:id="61" w:name="_Toc52165081"/>
      <w:bookmarkEnd w:id="61"/>
      <w:bookmarkStart w:id="62" w:name="_Toc50737329"/>
      <w:bookmarkEnd w:id="62"/>
      <w:bookmarkStart w:id="63" w:name="_Toc275865607"/>
      <w:bookmarkEnd w:id="63"/>
      <w:bookmarkStart w:id="64" w:name="_Toc50736477"/>
      <w:bookmarkEnd w:id="64"/>
      <w:bookmarkStart w:id="65" w:name="_Toc435514859"/>
      <w:bookmarkEnd w:id="65"/>
      <w:bookmarkStart w:id="66" w:name="_Toc50737297"/>
      <w:r>
        <w:rPr>
          <w:rFonts w:hint="eastAsia" w:asciiTheme="minorEastAsia" w:hAnsiTheme="minorEastAsia" w:eastAsiaTheme="minorEastAsia" w:cstheme="minorEastAsia"/>
          <w:b/>
          <w:bCs/>
          <w:color w:val="000000" w:themeColor="text1"/>
          <w:sz w:val="28"/>
          <w:szCs w:val="28"/>
          <w14:textFill>
            <w14:solidFill>
              <w14:schemeClr w14:val="tx1"/>
            </w14:solidFill>
          </w14:textFill>
        </w:rPr>
        <w:t>法定代表人授权委托书</w:t>
      </w:r>
      <w:bookmarkEnd w:id="66"/>
    </w:p>
    <w:p>
      <w:pPr>
        <w:spacing w:line="360" w:lineRule="auto"/>
        <w:ind w:firstLine="420" w:firstLineChars="20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本授权委托书声明：注册于</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（响应人地址）  </w:t>
      </w:r>
      <w:r>
        <w:rPr>
          <w:rFonts w:hint="eastAsia" w:asciiTheme="minorEastAsia" w:hAnsiTheme="minorEastAsia" w:eastAsiaTheme="minorEastAsia" w:cstheme="minorEastAsia"/>
          <w:color w:val="000000" w:themeColor="text1"/>
          <w:kern w:val="0"/>
          <w14:textFill>
            <w14:solidFill>
              <w14:schemeClr w14:val="tx1"/>
            </w14:solidFill>
          </w14:textFill>
        </w:rPr>
        <w:t>的</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（响应人名称）    </w:t>
      </w:r>
      <w:r>
        <w:rPr>
          <w:rFonts w:hint="eastAsia" w:asciiTheme="minorEastAsia" w:hAnsiTheme="minorEastAsia" w:eastAsiaTheme="minorEastAsia" w:cstheme="minorEastAsia"/>
          <w:color w:val="000000" w:themeColor="text1"/>
          <w:kern w:val="0"/>
          <w14:textFill>
            <w14:solidFill>
              <w14:schemeClr w14:val="tx1"/>
            </w14:solidFill>
          </w14:textFill>
        </w:rPr>
        <w:t>在下面签名的</w:t>
      </w:r>
      <w:r>
        <w:rPr>
          <w:rFonts w:hint="eastAsia" w:asciiTheme="minorEastAsia" w:hAnsiTheme="minorEastAsia" w:eastAsiaTheme="minorEastAsia" w:cstheme="minorEastAsia"/>
          <w:color w:val="000000" w:themeColor="text1"/>
          <w:kern w:val="0"/>
          <w:u w:val="single"/>
          <w14:textFill>
            <w14:solidFill>
              <w14:schemeClr w14:val="tx1"/>
            </w14:solidFill>
          </w14:textFill>
        </w:rPr>
        <w:t>（法定代表人姓名、职务）</w:t>
      </w:r>
      <w:r>
        <w:rPr>
          <w:rFonts w:hint="eastAsia" w:asciiTheme="minorEastAsia" w:hAnsiTheme="minorEastAsia" w:eastAsiaTheme="minorEastAsia" w:cstheme="minorEastAsia"/>
          <w:color w:val="000000" w:themeColor="text1"/>
          <w:kern w:val="0"/>
          <w14:textFill>
            <w14:solidFill>
              <w14:schemeClr w14:val="tx1"/>
            </w14:solidFill>
          </w14:textFill>
        </w:rPr>
        <w:t>在此授权</w:t>
      </w:r>
      <w:r>
        <w:rPr>
          <w:rFonts w:hint="eastAsia" w:asciiTheme="minorEastAsia" w:hAnsiTheme="minorEastAsia" w:eastAsiaTheme="minorEastAsia" w:cstheme="minorEastAsia"/>
          <w:color w:val="000000" w:themeColor="text1"/>
          <w:kern w:val="0"/>
          <w:u w:val="single"/>
          <w14:textFill>
            <w14:solidFill>
              <w14:schemeClr w14:val="tx1"/>
            </w14:solidFill>
          </w14:textFill>
        </w:rPr>
        <w:t>（被授权人姓名、职务）</w:t>
      </w:r>
      <w:r>
        <w:rPr>
          <w:rFonts w:hint="eastAsia" w:asciiTheme="minorEastAsia" w:hAnsiTheme="minorEastAsia" w:eastAsiaTheme="minorEastAsia" w:cstheme="minorEastAsia"/>
          <w:color w:val="000000" w:themeColor="text1"/>
          <w:kern w:val="0"/>
          <w14:textFill>
            <w14:solidFill>
              <w14:schemeClr w14:val="tx1"/>
            </w14:solidFill>
          </w14:textFill>
        </w:rPr>
        <w:t>作为我公司的合法代理人，就</w:t>
      </w:r>
      <w:r>
        <w:rPr>
          <w:rFonts w:hint="eastAsia" w:asciiTheme="minorEastAsia" w:hAnsiTheme="minorEastAsia" w:eastAsiaTheme="minorEastAsia" w:cstheme="minorEastAsia"/>
          <w:color w:val="000000" w:themeColor="text1"/>
          <w:kern w:val="0"/>
          <w:u w:val="single"/>
          <w14:textFill>
            <w14:solidFill>
              <w14:schemeClr w14:val="tx1"/>
            </w14:solidFill>
          </w14:textFill>
        </w:rPr>
        <w:t>（项目名称、项目编号）</w:t>
      </w:r>
      <w:r>
        <w:rPr>
          <w:rFonts w:hint="eastAsia" w:asciiTheme="minorEastAsia" w:hAnsiTheme="minorEastAsia" w:eastAsiaTheme="minorEastAsia" w:cstheme="minorEastAsia"/>
          <w:color w:val="000000" w:themeColor="text1"/>
          <w:kern w:val="0"/>
          <w14:textFill>
            <w14:solidFill>
              <w14:schemeClr w14:val="tx1"/>
            </w14:solidFill>
          </w14:textFill>
        </w:rPr>
        <w:t>的采购活动，采购合同的签订、执行、完成和售后服务，作为响应人代表以我方的名义处理一切与之有关的事务。</w:t>
      </w:r>
    </w:p>
    <w:p>
      <w:pPr>
        <w:spacing w:line="360" w:lineRule="auto"/>
        <w:ind w:firstLine="420" w:firstLineChars="200"/>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被授权人（响应人授权代表）无转委托权限。</w:t>
      </w:r>
    </w:p>
    <w:p>
      <w:pPr>
        <w:spacing w:line="360" w:lineRule="auto"/>
        <w:ind w:firstLine="42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本授权书自法定代表人签字之日起生效，特此声明。</w:t>
      </w:r>
    </w:p>
    <w:p>
      <w:pPr>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随附《法定代表人证明》</w:t>
      </w:r>
    </w:p>
    <w:p>
      <w:pPr>
        <w:spacing w:line="440" w:lineRule="exact"/>
        <w:ind w:right="541"/>
        <w:jc w:val="left"/>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响应人名称（加盖公章）：</w:t>
      </w:r>
    </w:p>
    <w:p>
      <w:pPr>
        <w:spacing w:line="360" w:lineRule="auto"/>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地      址：</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法定代表人（签署本人姓名或印盖本人姓名章）：        签字日期：年月日</w:t>
      </w:r>
    </w:p>
    <w:p>
      <w:pPr>
        <w:spacing w:line="360" w:lineRule="auto"/>
        <w:ind w:left="1159" w:leftChars="552" w:firstLine="2261"/>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INCLUDEPICTURE "C:\\Users\\WHY\\AppData\\Local\\Temp\\ksohtml\\wpsBD40.tmp.png" \* MERGEFORMATINET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drawing>
          <wp:inline distT="0" distB="0" distL="114300" distR="114300">
            <wp:extent cx="5600700" cy="1504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r:link="rId5"/>
                    <a:stretch>
                      <a:fillRect/>
                    </a:stretch>
                  </pic:blipFill>
                  <pic:spPr>
                    <a:xfrm>
                      <a:off x="0" y="0"/>
                      <a:ext cx="5600700" cy="1504950"/>
                    </a:xfrm>
                    <a:prstGeom prst="rect">
                      <a:avLst/>
                    </a:prstGeom>
                    <a:noFill/>
                    <a:ln>
                      <a:noFill/>
                    </a:ln>
                  </pic:spPr>
                </pic:pic>
              </a:graphicData>
            </a:graphic>
          </wp:inline>
        </w:drawing>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numPr>
          <w:ilvl w:val="0"/>
          <w:numId w:val="17"/>
        </w:numPr>
        <w:spacing w:line="440" w:lineRule="exact"/>
        <w:ind w:left="426" w:hanging="426"/>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spacing w:val="4"/>
          <w:u w:val="single"/>
          <w14:textFill>
            <w14:solidFill>
              <w14:schemeClr w14:val="tx1"/>
            </w14:solidFill>
          </w14:textFill>
        </w:rPr>
        <w:br w:type="page"/>
      </w:r>
    </w:p>
    <w:p>
      <w:pPr>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法定代表人证明书</w:t>
      </w:r>
    </w:p>
    <w:p>
      <w:pPr>
        <w:spacing w:line="480" w:lineRule="auto"/>
        <w:ind w:firstLine="945" w:firstLineChars="45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______________同志，现任我单位职务，为法定代表人，特此证明。</w:t>
      </w:r>
    </w:p>
    <w:p>
      <w:pPr>
        <w:spacing w:line="360" w:lineRule="auto"/>
        <w:ind w:firstLine="42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本证明书自签发之日起生效，有效期与本公司响应文件中标注的响应有效期相同。</w:t>
      </w:r>
    </w:p>
    <w:p>
      <w:pPr>
        <w:spacing w:line="480" w:lineRule="auto"/>
        <w:ind w:firstLine="42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附：</w:t>
      </w:r>
    </w:p>
    <w:p>
      <w:pPr>
        <w:spacing w:line="480" w:lineRule="auto"/>
        <w:ind w:firstLine="840" w:firstLineChars="4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营业执照（注册号）：                       </w:t>
      </w:r>
    </w:p>
    <w:p>
      <w:pPr>
        <w:spacing w:line="480" w:lineRule="auto"/>
        <w:ind w:firstLine="840" w:firstLineChars="4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经济性质：</w:t>
      </w:r>
    </w:p>
    <w:p>
      <w:pPr>
        <w:spacing w:line="480" w:lineRule="auto"/>
        <w:ind w:firstLine="840" w:firstLineChars="4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主营（产）：</w:t>
      </w:r>
    </w:p>
    <w:p>
      <w:pPr>
        <w:spacing w:line="480" w:lineRule="auto"/>
        <w:ind w:firstLine="840" w:firstLineChars="4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兼营（产）：</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INCLUDEPICTURE "C:\\Users\\WHY\\AppData\\Local\\Temp\\ksohtml\\wpsBD41.tmp.png" \* MERGEFORMATINET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drawing>
          <wp:inline distT="0" distB="0" distL="114300" distR="114300">
            <wp:extent cx="5600700" cy="1504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r:link="rId7"/>
                    <a:stretch>
                      <a:fillRect/>
                    </a:stretch>
                  </pic:blipFill>
                  <pic:spPr>
                    <a:xfrm>
                      <a:off x="0" y="0"/>
                      <a:ext cx="5600700" cy="1504950"/>
                    </a:xfrm>
                    <a:prstGeom prst="rect">
                      <a:avLst/>
                    </a:prstGeom>
                    <a:noFill/>
                    <a:ln>
                      <a:noFill/>
                    </a:ln>
                  </pic:spPr>
                </pic:pic>
              </a:graphicData>
            </a:graphic>
          </wp:inline>
        </w:drawing>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500" w:lineRule="exact"/>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spacing w:line="500" w:lineRule="exact"/>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spacing w:line="500" w:lineRule="exact"/>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spacing w:line="500" w:lineRule="exact"/>
        <w:ind w:left="4536" w:leftChars="2160"/>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响应人名称：（加盖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r>
        <w:rPr>
          <w:rFonts w:hint="eastAsia" w:asciiTheme="minorEastAsia" w:hAnsiTheme="minorEastAsia" w:eastAsiaTheme="minorEastAsia" w:cstheme="minorEastAsia"/>
          <w:color w:val="000000" w:themeColor="text1"/>
          <w14:textFill>
            <w14:solidFill>
              <w14:schemeClr w14:val="tx1"/>
            </w14:solidFill>
          </w14:textFill>
        </w:rPr>
        <w:t>）：</w:t>
      </w:r>
    </w:p>
    <w:p>
      <w:pPr>
        <w:spacing w:line="500" w:lineRule="exact"/>
        <w:ind w:left="4536" w:leftChars="2160"/>
        <w:rPr>
          <w:rFonts w:asciiTheme="minorEastAsia" w:hAnsiTheme="minorEastAsia" w:eastAsiaTheme="minorEastAsia" w:cstheme="minorEastAsia"/>
          <w:b/>
          <w:bCs/>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签发日期：</w:t>
      </w:r>
    </w:p>
    <w:p>
      <w:pPr>
        <w:spacing w:line="520" w:lineRule="exact"/>
        <w:ind w:firstLine="327" w:firstLineChars="150"/>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spacing w:val="4"/>
          <w:u w:val="single"/>
          <w14:textFill>
            <w14:solidFill>
              <w14:schemeClr w14:val="tx1"/>
            </w14:solidFill>
          </w14:textFill>
        </w:rPr>
        <w:t xml:space="preserve"> </w:t>
      </w:r>
    </w:p>
    <w:p>
      <w:pPr>
        <w:numPr>
          <w:ilvl w:val="0"/>
          <w:numId w:val="17"/>
        </w:numPr>
        <w:spacing w:line="440" w:lineRule="exact"/>
        <w:ind w:left="426" w:hanging="426"/>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br w:type="page"/>
      </w:r>
      <w:bookmarkStart w:id="67" w:name="_Toc435514860"/>
      <w:bookmarkEnd w:id="67"/>
      <w:bookmarkStart w:id="68" w:name="_Toc435515300"/>
      <w:bookmarkEnd w:id="68"/>
      <w:bookmarkStart w:id="69" w:name="_Toc275865608"/>
      <w:bookmarkEnd w:id="69"/>
    </w:p>
    <w:p>
      <w:pPr>
        <w:spacing w:after="156" w:afterLines="50"/>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70" w:name="_承诺函"/>
      <w:bookmarkEnd w:id="70"/>
      <w:bookmarkStart w:id="71" w:name="_Toc435515298"/>
      <w:bookmarkEnd w:id="71"/>
      <w:bookmarkStart w:id="72" w:name="_Toc435514858"/>
      <w:r>
        <w:rPr>
          <w:rFonts w:hint="eastAsia" w:asciiTheme="minorEastAsia" w:hAnsiTheme="minorEastAsia" w:eastAsiaTheme="minorEastAsia" w:cstheme="minorEastAsia"/>
          <w:b/>
          <w:bCs/>
          <w:color w:val="000000" w:themeColor="text1"/>
          <w:sz w:val="28"/>
          <w:szCs w:val="28"/>
          <w14:textFill>
            <w14:solidFill>
              <w14:schemeClr w14:val="tx1"/>
            </w14:solidFill>
          </w14:textFill>
        </w:rPr>
        <w:t>公平竞争承诺书</w:t>
      </w:r>
      <w:bookmarkEnd w:id="72"/>
    </w:p>
    <w:p>
      <w:pPr>
        <w:spacing w:line="360" w:lineRule="auto"/>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本公司郑重承诺：本公司保证所提交的相关资质文件和证明材料的真实性，有良好的历史诚信记录，并将依法参与</w:t>
      </w:r>
      <w:r>
        <w:rPr>
          <w:rFonts w:hint="eastAsia" w:asciiTheme="minorEastAsia" w:hAnsiTheme="minorEastAsia" w:eastAsiaTheme="minorEastAsia" w:cstheme="minorEastAsia"/>
          <w:color w:val="000000" w:themeColor="text1"/>
          <w:kern w:val="28"/>
          <w:u w:val="single"/>
          <w14:textFill>
            <w14:solidFill>
              <w14:schemeClr w14:val="tx1"/>
            </w14:solidFill>
          </w14:textFill>
        </w:rPr>
        <w:t>（项目名称）</w:t>
      </w:r>
      <w:r>
        <w:rPr>
          <w:rFonts w:hint="eastAsia" w:asciiTheme="minorEastAsia" w:hAnsiTheme="minorEastAsia" w:eastAsiaTheme="minorEastAsia" w:cstheme="minorEastAsia"/>
          <w:color w:val="000000" w:themeColor="text1"/>
          <w14:textFill>
            <w14:solidFill>
              <w14:schemeClr w14:val="tx1"/>
            </w14:solidFill>
          </w14:textFill>
        </w:rPr>
        <w:t>项目的公平竞争，不以任何不正当行为谋取不当利益，否则承担相应的法律责任。</w:t>
      </w:r>
    </w:p>
    <w:p>
      <w:pPr>
        <w:spacing w:line="360" w:lineRule="auto"/>
        <w:ind w:right="541"/>
        <w:jc w:val="right"/>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响应人名称（加盖公章）：</w:t>
      </w:r>
    </w:p>
    <w:p>
      <w:pPr>
        <w:spacing w:line="360" w:lineRule="auto"/>
        <w:ind w:right="541"/>
        <w:jc w:val="right"/>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numPr>
          <w:ilvl w:val="0"/>
          <w:numId w:val="17"/>
        </w:numPr>
        <w:spacing w:line="440" w:lineRule="exact"/>
        <w:ind w:left="426" w:hanging="426"/>
        <w:rPr>
          <w:rFonts w:asciiTheme="minorEastAsia" w:hAnsiTheme="minorEastAsia" w:eastAsiaTheme="minorEastAsia" w:cstheme="minorEastAsia"/>
          <w:color w:val="000000" w:themeColor="text1"/>
          <w14:textFill>
            <w14:solidFill>
              <w14:schemeClr w14:val="tx1"/>
            </w14:solidFill>
          </w14:textFill>
        </w:rPr>
      </w:pPr>
      <w:bookmarkStart w:id="73" w:name="_Toc275865619"/>
      <w:bookmarkEnd w:id="73"/>
      <w:bookmarkStart w:id="74" w:name="_Toc170699948"/>
      <w:bookmarkEnd w:id="74"/>
      <w:bookmarkStart w:id="75" w:name="_Toc50736478"/>
      <w:bookmarkEnd w:id="75"/>
      <w:bookmarkStart w:id="76" w:name="_Toc87417460"/>
      <w:bookmarkEnd w:id="76"/>
      <w:bookmarkStart w:id="77" w:name="_Toc239051894"/>
      <w:bookmarkEnd w:id="77"/>
      <w:bookmarkStart w:id="78" w:name="_Toc50691038"/>
      <w:bookmarkEnd w:id="78"/>
      <w:bookmarkStart w:id="79" w:name="_Toc50737298"/>
      <w:bookmarkEnd w:id="79"/>
      <w:bookmarkStart w:id="80" w:name="_Toc275865609"/>
      <w:bookmarkEnd w:id="80"/>
      <w:bookmarkStart w:id="81" w:name="_Toc50737330"/>
      <w:bookmarkEnd w:id="81"/>
      <w:bookmarkStart w:id="82" w:name="_Toc52165082"/>
      <w:r>
        <w:rPr>
          <w:rFonts w:hint="eastAsia" w:asciiTheme="minorEastAsia" w:hAnsiTheme="minorEastAsia" w:eastAsiaTheme="minorEastAsia" w:cstheme="minorEastAsia"/>
          <w:color w:val="000000" w:themeColor="text1"/>
          <w14:textFill>
            <w14:solidFill>
              <w14:schemeClr w14:val="tx1"/>
            </w14:solidFill>
          </w14:textFill>
        </w:rPr>
        <w:br w:type="page"/>
      </w:r>
      <w:bookmarkEnd w:id="82"/>
    </w:p>
    <w:p>
      <w:pPr>
        <w:spacing w:after="156" w:afterLines="50"/>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83" w:name="_Toc435514865"/>
      <w:bookmarkEnd w:id="83"/>
      <w:bookmarkStart w:id="84" w:name="_Toc435515305"/>
      <w:r>
        <w:rPr>
          <w:rFonts w:hint="eastAsia" w:asciiTheme="minorEastAsia" w:hAnsiTheme="minorEastAsia" w:eastAsiaTheme="minorEastAsia" w:cstheme="minorEastAsia"/>
          <w:b/>
          <w:bCs/>
          <w:color w:val="000000" w:themeColor="text1"/>
          <w:sz w:val="28"/>
          <w:szCs w:val="28"/>
          <w14:textFill>
            <w14:solidFill>
              <w14:schemeClr w14:val="tx1"/>
            </w14:solidFill>
          </w14:textFill>
        </w:rPr>
        <w:t>响应一览表(报价表)</w:t>
      </w:r>
      <w:bookmarkEnd w:id="84"/>
    </w:p>
    <w:p>
      <w:pPr>
        <w:ind w:firstLine="210" w:firstLineChars="1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tbl>
      <w:tblPr>
        <w:tblStyle w:val="8"/>
        <w:tblW w:w="921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824"/>
        <w:gridCol w:w="3219"/>
        <w:gridCol w:w="3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706" w:type="dxa"/>
            <w:tcBorders>
              <w:top w:val="single" w:color="auto" w:sz="12" w:space="0"/>
              <w:left w:val="single" w:color="auto" w:sz="12" w:space="0"/>
              <w:bottom w:val="double" w:color="auto" w:sz="2" w:space="0"/>
              <w:right w:val="single" w:color="auto" w:sz="4" w:space="0"/>
            </w:tcBorders>
            <w:shd w:val="clear" w:color="auto" w:fill="EEECE1"/>
            <w:vAlign w:val="center"/>
          </w:tcPr>
          <w:p>
            <w:pPr>
              <w:adjustRightInd w:val="0"/>
              <w:snapToGrid w:val="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采购内容</w:t>
            </w:r>
          </w:p>
        </w:tc>
        <w:tc>
          <w:tcPr>
            <w:tcW w:w="824"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数量</w:t>
            </w:r>
          </w:p>
        </w:tc>
        <w:tc>
          <w:tcPr>
            <w:tcW w:w="3219"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投标单价报价</w:t>
            </w:r>
          </w:p>
          <w:p>
            <w:pPr>
              <w:adjustRightInd w:val="0"/>
              <w:snapToGrid w:val="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（人民币 元）</w:t>
            </w:r>
          </w:p>
        </w:tc>
        <w:tc>
          <w:tcPr>
            <w:tcW w:w="3465" w:type="dxa"/>
            <w:tcBorders>
              <w:top w:val="single" w:color="auto" w:sz="12" w:space="0"/>
              <w:left w:val="single" w:color="auto" w:sz="4" w:space="0"/>
              <w:bottom w:val="double" w:color="auto" w:sz="2" w:space="0"/>
              <w:right w:val="single" w:color="auto" w:sz="12" w:space="0"/>
            </w:tcBorders>
            <w:shd w:val="clear" w:color="auto" w:fill="EEECE1"/>
            <w:vAlign w:val="center"/>
          </w:tcPr>
          <w:p>
            <w:pPr>
              <w:adjustRightInd w:val="0"/>
              <w:snapToGrid w:val="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供货期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1706" w:type="dxa"/>
            <w:tcBorders>
              <w:top w:val="single" w:color="auto" w:sz="4" w:space="0"/>
              <w:left w:val="single" w:color="auto" w:sz="12"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1套</w:t>
            </w:r>
          </w:p>
        </w:tc>
        <w:tc>
          <w:tcPr>
            <w:tcW w:w="321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小写：RMB</w:t>
            </w:r>
          </w:p>
          <w:p>
            <w:pPr>
              <w:adjustRightInd w:val="0"/>
              <w:snapToGrid w:val="0"/>
              <w:rPr>
                <w:rFonts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大写：</w:t>
            </w:r>
          </w:p>
        </w:tc>
        <w:tc>
          <w:tcPr>
            <w:tcW w:w="3465" w:type="dxa"/>
            <w:tcBorders>
              <w:top w:val="single" w:color="auto" w:sz="4" w:space="0"/>
              <w:left w:val="single" w:color="auto" w:sz="4" w:space="0"/>
              <w:bottom w:val="single" w:color="auto" w:sz="4" w:space="0"/>
              <w:right w:val="single" w:color="auto" w:sz="12" w:space="0"/>
            </w:tcBorders>
            <w:vAlign w:val="center"/>
          </w:tcPr>
          <w:p>
            <w:pPr>
              <w:keepNext/>
              <w:adjustRightInd w:val="0"/>
              <w:spacing w:before="60" w:after="60"/>
              <w:ind w:left="-44" w:leftChars="-21" w:right="-69" w:rightChars="-33"/>
              <w:jc w:val="center"/>
              <w:textAlignment w:val="center"/>
              <w:rPr>
                <w:rFonts w:asciiTheme="minorEastAsia" w:hAnsiTheme="minorEastAsia" w:eastAsiaTheme="minorEastAsia" w:cstheme="minorEastAsia"/>
                <w:color w:val="000000" w:themeColor="text1"/>
                <w:spacing w:val="20"/>
                <w:kern w:val="0"/>
                <w:szCs w:val="21"/>
                <w14:textFill>
                  <w14:solidFill>
                    <w14:schemeClr w14:val="tx1"/>
                  </w14:solidFill>
                </w14:textFill>
              </w:rPr>
            </w:pPr>
            <w:r>
              <w:rPr>
                <w:rFonts w:hint="eastAsia" w:asciiTheme="minorEastAsia" w:hAnsiTheme="minorEastAsia" w:eastAsiaTheme="minorEastAsia" w:cstheme="minorEastAsia"/>
                <w:color w:val="000000" w:themeColor="text1"/>
                <w:spacing w:val="20"/>
                <w:kern w:val="0"/>
                <w14:textFill>
                  <w14:solidFill>
                    <w14:schemeClr w14:val="tx1"/>
                  </w14:solidFill>
                </w14:textFill>
              </w:rPr>
              <w:t>自合同签订之日15个工作日内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1706" w:type="dxa"/>
            <w:tcBorders>
              <w:top w:val="single" w:color="auto" w:sz="4" w:space="0"/>
              <w:left w:val="single" w:color="auto" w:sz="12"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14:textFill>
                  <w14:solidFill>
                    <w14:schemeClr w14:val="tx1"/>
                  </w14:solidFill>
                </w14:textFill>
              </w:rPr>
            </w:pPr>
          </w:p>
        </w:tc>
        <w:tc>
          <w:tcPr>
            <w:tcW w:w="321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eastAsiaTheme="minorEastAsia" w:cstheme="minorEastAsia"/>
                <w:color w:val="000000" w:themeColor="text1"/>
                <w14:textFill>
                  <w14:solidFill>
                    <w14:schemeClr w14:val="tx1"/>
                  </w14:solidFill>
                </w14:textFill>
              </w:rPr>
            </w:pPr>
          </w:p>
        </w:tc>
        <w:tc>
          <w:tcPr>
            <w:tcW w:w="3465" w:type="dxa"/>
            <w:tcBorders>
              <w:top w:val="single" w:color="auto" w:sz="4" w:space="0"/>
              <w:left w:val="single" w:color="auto" w:sz="4" w:space="0"/>
              <w:bottom w:val="single" w:color="auto" w:sz="4" w:space="0"/>
              <w:right w:val="single" w:color="auto" w:sz="12" w:space="0"/>
            </w:tcBorders>
            <w:vAlign w:val="center"/>
          </w:tcPr>
          <w:p>
            <w:pPr>
              <w:keepNext/>
              <w:adjustRightInd w:val="0"/>
              <w:spacing w:before="60" w:after="60"/>
              <w:ind w:left="-44" w:leftChars="-21" w:right="-69" w:rightChars="-33"/>
              <w:jc w:val="center"/>
              <w:textAlignment w:val="center"/>
              <w:rPr>
                <w:rFonts w:asciiTheme="minorEastAsia" w:hAnsiTheme="minorEastAsia" w:eastAsiaTheme="minorEastAsia" w:cstheme="minorEastAsia"/>
                <w:color w:val="000000" w:themeColor="text1"/>
                <w:spacing w:val="20"/>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1706" w:type="dxa"/>
            <w:tcBorders>
              <w:top w:val="single" w:color="auto" w:sz="4" w:space="0"/>
              <w:left w:val="single" w:color="auto" w:sz="12"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14:textFill>
                  <w14:solidFill>
                    <w14:schemeClr w14:val="tx1"/>
                  </w14:solidFill>
                </w14:textFill>
              </w:rPr>
            </w:pPr>
          </w:p>
        </w:tc>
        <w:tc>
          <w:tcPr>
            <w:tcW w:w="321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eastAsiaTheme="minorEastAsia" w:cstheme="minorEastAsia"/>
                <w:color w:val="000000" w:themeColor="text1"/>
                <w14:textFill>
                  <w14:solidFill>
                    <w14:schemeClr w14:val="tx1"/>
                  </w14:solidFill>
                </w14:textFill>
              </w:rPr>
            </w:pPr>
          </w:p>
        </w:tc>
        <w:tc>
          <w:tcPr>
            <w:tcW w:w="3465" w:type="dxa"/>
            <w:tcBorders>
              <w:top w:val="single" w:color="auto" w:sz="4" w:space="0"/>
              <w:left w:val="single" w:color="auto" w:sz="4" w:space="0"/>
              <w:bottom w:val="single" w:color="auto" w:sz="4" w:space="0"/>
              <w:right w:val="single" w:color="auto" w:sz="12" w:space="0"/>
            </w:tcBorders>
            <w:vAlign w:val="center"/>
          </w:tcPr>
          <w:p>
            <w:pPr>
              <w:keepNext/>
              <w:adjustRightInd w:val="0"/>
              <w:spacing w:before="60" w:after="60"/>
              <w:ind w:left="-44" w:leftChars="-21" w:right="-69" w:rightChars="-33"/>
              <w:jc w:val="center"/>
              <w:textAlignment w:val="center"/>
              <w:rPr>
                <w:rFonts w:asciiTheme="minorEastAsia" w:hAnsiTheme="minorEastAsia" w:eastAsiaTheme="minorEastAsia" w:cstheme="minorEastAsia"/>
                <w:color w:val="000000" w:themeColor="text1"/>
                <w:spacing w:val="20"/>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1706" w:type="dxa"/>
            <w:tcBorders>
              <w:top w:val="single" w:color="auto" w:sz="4" w:space="0"/>
              <w:left w:val="single" w:color="auto" w:sz="12"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14:textFill>
                  <w14:solidFill>
                    <w14:schemeClr w14:val="tx1"/>
                  </w14:solidFill>
                </w14:textFill>
              </w:rPr>
            </w:pPr>
          </w:p>
        </w:tc>
        <w:tc>
          <w:tcPr>
            <w:tcW w:w="321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eastAsiaTheme="minorEastAsia" w:cstheme="minorEastAsia"/>
                <w:color w:val="000000" w:themeColor="text1"/>
                <w14:textFill>
                  <w14:solidFill>
                    <w14:schemeClr w14:val="tx1"/>
                  </w14:solidFill>
                </w14:textFill>
              </w:rPr>
            </w:pPr>
          </w:p>
        </w:tc>
        <w:tc>
          <w:tcPr>
            <w:tcW w:w="3465" w:type="dxa"/>
            <w:tcBorders>
              <w:top w:val="single" w:color="auto" w:sz="4" w:space="0"/>
              <w:left w:val="single" w:color="auto" w:sz="4" w:space="0"/>
              <w:bottom w:val="single" w:color="auto" w:sz="4" w:space="0"/>
              <w:right w:val="single" w:color="auto" w:sz="12" w:space="0"/>
            </w:tcBorders>
            <w:vAlign w:val="center"/>
          </w:tcPr>
          <w:p>
            <w:pPr>
              <w:keepNext/>
              <w:adjustRightInd w:val="0"/>
              <w:spacing w:before="60" w:after="60"/>
              <w:ind w:left="-44" w:leftChars="-21" w:right="-69" w:rightChars="-33"/>
              <w:jc w:val="center"/>
              <w:textAlignment w:val="center"/>
              <w:rPr>
                <w:rFonts w:asciiTheme="minorEastAsia" w:hAnsiTheme="minorEastAsia" w:eastAsiaTheme="minorEastAsia" w:cstheme="minorEastAsia"/>
                <w:color w:val="000000" w:themeColor="text1"/>
                <w:spacing w:val="20"/>
                <w:kern w:val="0"/>
                <w14:textFill>
                  <w14:solidFill>
                    <w14:schemeClr w14:val="tx1"/>
                  </w14:solidFill>
                </w14:textFill>
              </w:rPr>
            </w:pPr>
          </w:p>
        </w:tc>
      </w:tr>
    </w:tbl>
    <w:p>
      <w:pPr>
        <w:spacing w:line="500" w:lineRule="exact"/>
        <w:rPr>
          <w:rFonts w:asciiTheme="minorEastAsia" w:hAnsiTheme="minorEastAsia" w:eastAsiaTheme="minorEastAsia" w:cstheme="minorEastAsia"/>
          <w:color w:val="000000" w:themeColor="text1"/>
          <w:spacing w:val="4"/>
          <w:szCs w:val="21"/>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 xml:space="preserve"> </w:t>
      </w:r>
    </w:p>
    <w:p>
      <w:pPr>
        <w:spacing w:line="500" w:lineRule="exact"/>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w:t>
      </w:r>
      <w:r>
        <w:rPr>
          <w:rFonts w:hint="eastAsia" w:asciiTheme="minorEastAsia" w:hAnsiTheme="minorEastAsia" w:eastAsiaTheme="minorEastAsia" w:cstheme="minorEastAsia"/>
          <w:color w:val="000000" w:themeColor="text1"/>
          <w14:textFill>
            <w14:solidFill>
              <w14:schemeClr w14:val="tx1"/>
            </w14:solidFill>
          </w14:textFill>
        </w:rPr>
        <w:t>单位盖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p>
    <w:p>
      <w:pPr>
        <w:spacing w:line="520" w:lineRule="exact"/>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法定代表人或响应人授权代表（签署本人姓名或印盖本人姓名章）：</w:t>
      </w: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spacing w:line="400" w:lineRule="exact"/>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spacing w:line="400" w:lineRule="exact"/>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备注：</w:t>
      </w:r>
    </w:p>
    <w:p>
      <w:pPr>
        <w:numPr>
          <w:ilvl w:val="1"/>
          <w:numId w:val="18"/>
        </w:numPr>
        <w:snapToGrid w:val="0"/>
        <w:spacing w:line="360" w:lineRule="auto"/>
        <w:ind w:left="360"/>
        <w:rPr>
          <w:rFonts w:asciiTheme="minorEastAsia" w:hAnsiTheme="minorEastAsia" w:eastAsiaTheme="minorEastAsia" w:cstheme="minorEastAsia"/>
          <w:b/>
          <w:bCs/>
          <w:color w:val="000000" w:themeColor="text1"/>
          <w:spacing w:val="4"/>
          <w14:textFill>
            <w14:solidFill>
              <w14:schemeClr w14:val="tx1"/>
            </w14:solidFill>
          </w14:textFill>
        </w:rPr>
      </w:pPr>
      <w:r>
        <w:rPr>
          <w:rFonts w:hint="eastAsia" w:asciiTheme="minorEastAsia" w:hAnsiTheme="minorEastAsia" w:eastAsiaTheme="minorEastAsia" w:cstheme="minorEastAsia"/>
          <w:b/>
          <w:bCs/>
          <w:color w:val="000000" w:themeColor="text1"/>
          <w:spacing w:val="4"/>
          <w14:textFill>
            <w14:solidFill>
              <w14:schemeClr w14:val="tx1"/>
            </w14:solidFill>
          </w14:textFill>
        </w:rPr>
        <w:t>温馨提示：</w:t>
      </w:r>
      <w:r>
        <w:rPr>
          <w:rFonts w:hint="eastAsia" w:asciiTheme="minorEastAsia" w:hAnsiTheme="minorEastAsia" w:eastAsiaTheme="minorEastAsia" w:cstheme="minorEastAsia"/>
          <w:color w:val="000000" w:themeColor="text1"/>
          <w:spacing w:val="4"/>
          <w14:textFill>
            <w14:solidFill>
              <w14:schemeClr w14:val="tx1"/>
            </w14:solidFill>
          </w14:textFill>
        </w:rPr>
        <w:t>中文大写金额用汉字，如壹、贰、叁、肆、伍、陆、柒、捌、玖、拾、佰、仟、万、亿、元、角、分、零、整（正）等。</w:t>
      </w:r>
    </w:p>
    <w:p>
      <w:pPr>
        <w:numPr>
          <w:ilvl w:val="1"/>
          <w:numId w:val="18"/>
        </w:numPr>
        <w:snapToGrid w:val="0"/>
        <w:spacing w:line="360" w:lineRule="auto"/>
        <w:ind w:left="36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响应报价的小数点后保留两位有效数。</w:t>
      </w:r>
    </w:p>
    <w:p>
      <w:pPr>
        <w:numPr>
          <w:ilvl w:val="1"/>
          <w:numId w:val="18"/>
        </w:numPr>
        <w:snapToGrid w:val="0"/>
        <w:spacing w:line="360" w:lineRule="auto"/>
        <w:ind w:left="36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此表为响应文件的组成部分，须附在正、副本的响应文件中，并另封装一份于响应信封中。</w:t>
      </w:r>
    </w:p>
    <w:p>
      <w:pPr>
        <w:numPr>
          <w:ilvl w:val="1"/>
          <w:numId w:val="18"/>
        </w:numPr>
        <w:snapToGrid w:val="0"/>
        <w:spacing w:line="360" w:lineRule="auto"/>
        <w:ind w:left="36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此表内投响应报价为最终价，除采购文件另有规定外，响应信封或响应文件内不得含有任何对本报价进行价格折扣的说明或资料，否则为无效响应。</w:t>
      </w:r>
    </w:p>
    <w:p>
      <w:pPr>
        <w:numPr>
          <w:ilvl w:val="1"/>
          <w:numId w:val="18"/>
        </w:numPr>
        <w:snapToGrid w:val="0"/>
        <w:spacing w:line="360" w:lineRule="auto"/>
        <w:ind w:left="36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本项目不接受有选择性的响应报价。</w:t>
      </w:r>
    </w:p>
    <w:p>
      <w:pPr>
        <w:numPr>
          <w:ilvl w:val="0"/>
          <w:numId w:val="17"/>
        </w:numPr>
        <w:spacing w:line="440" w:lineRule="exact"/>
        <w:ind w:left="426" w:hanging="426"/>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p>
    <w:p>
      <w:pPr>
        <w:ind w:firstLine="281"/>
        <w:jc w:val="center"/>
        <w:outlineLvl w:val="2"/>
        <w:rPr>
          <w:rFonts w:asciiTheme="minorEastAsia" w:hAnsiTheme="minorEastAsia" w:eastAsiaTheme="minorEastAsia" w:cstheme="minorEastAsia"/>
          <w:color w:val="000000" w:themeColor="text1"/>
          <w14:textFill>
            <w14:solidFill>
              <w14:schemeClr w14:val="tx1"/>
            </w14:solidFill>
          </w14:textFill>
        </w:rPr>
      </w:pPr>
      <w:bookmarkStart w:id="85" w:name="_Toc52165089"/>
      <w:bookmarkEnd w:id="85"/>
      <w:bookmarkStart w:id="86" w:name="_Toc50736485"/>
      <w:bookmarkEnd w:id="86"/>
      <w:bookmarkStart w:id="87" w:name="_Toc435514867"/>
      <w:bookmarkEnd w:id="87"/>
      <w:bookmarkStart w:id="88" w:name="_Toc50737337"/>
      <w:bookmarkEnd w:id="88"/>
      <w:bookmarkStart w:id="89" w:name="_Toc435515307"/>
      <w:bookmarkEnd w:id="89"/>
      <w:bookmarkStart w:id="90" w:name="_Toc50737305"/>
      <w:bookmarkEnd w:id="90"/>
      <w:bookmarkStart w:id="91" w:name="_Toc275865613"/>
      <w:bookmarkEnd w:id="91"/>
      <w:bookmarkStart w:id="92" w:name="_Toc50691051"/>
      <w:r>
        <w:rPr>
          <w:rFonts w:hint="eastAsia" w:asciiTheme="minorEastAsia" w:hAnsiTheme="minorEastAsia" w:eastAsiaTheme="minorEastAsia" w:cstheme="minorEastAsia"/>
          <w:b/>
          <w:bCs/>
          <w:color w:val="000000" w:themeColor="text1"/>
          <w:sz w:val="28"/>
          <w:szCs w:val="28"/>
          <w14:textFill>
            <w14:solidFill>
              <w14:schemeClr w14:val="tx1"/>
            </w14:solidFill>
          </w14:textFill>
        </w:rPr>
        <w:t>货物技术参数响应一览表</w:t>
      </w:r>
      <w:bookmarkEnd w:id="92"/>
    </w:p>
    <w:p>
      <w:pPr>
        <w:ind w:firstLine="210" w:firstLineChars="1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tbl>
      <w:tblPr>
        <w:tblStyle w:val="8"/>
        <w:tblW w:w="902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2790"/>
        <w:gridCol w:w="2325"/>
        <w:gridCol w:w="2032"/>
        <w:gridCol w:w="13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35" w:type="dxa"/>
            <w:tcBorders>
              <w:top w:val="single" w:color="auto" w:sz="12" w:space="0"/>
              <w:left w:val="single" w:color="auto" w:sz="12" w:space="0"/>
              <w:bottom w:val="double" w:color="auto" w:sz="2" w:space="0"/>
              <w:right w:val="sing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序号</w:t>
            </w:r>
          </w:p>
        </w:tc>
        <w:tc>
          <w:tcPr>
            <w:tcW w:w="279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采购文件条款描述</w:t>
            </w:r>
          </w:p>
        </w:tc>
        <w:tc>
          <w:tcPr>
            <w:tcW w:w="2325"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供应商响应描述</w:t>
            </w:r>
          </w:p>
          <w:p>
            <w:pPr>
              <w:adjustRightInd w:val="0"/>
              <w:snapToGrid w:val="0"/>
              <w:ind w:left="-71" w:leftChars="-34" w:right="-73" w:rightChars="-35"/>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(供应商应按响应货物/服务实际数据填写，不能照抄要求)</w:t>
            </w:r>
          </w:p>
        </w:tc>
        <w:tc>
          <w:tcPr>
            <w:tcW w:w="2032"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偏离情况说明</w:t>
            </w:r>
          </w:p>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（正偏离/完全响应/负偏离）</w:t>
            </w:r>
          </w:p>
        </w:tc>
        <w:tc>
          <w:tcPr>
            <w:tcW w:w="1344" w:type="dxa"/>
            <w:tcBorders>
              <w:top w:val="single" w:color="auto" w:sz="12" w:space="0"/>
              <w:left w:val="single" w:color="auto" w:sz="4" w:space="0"/>
              <w:bottom w:val="double" w:color="auto" w:sz="2" w:space="0"/>
              <w:right w:val="single" w:color="auto" w:sz="12"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9026" w:type="dxa"/>
            <w:gridSpan w:val="5"/>
            <w:tcBorders>
              <w:top w:val="single" w:color="auto" w:sz="4" w:space="0"/>
              <w:left w:val="single" w:color="auto" w:sz="12" w:space="0"/>
              <w:bottom w:val="single" w:color="auto" w:sz="4" w:space="0"/>
              <w:right w:val="single" w:color="auto" w:sz="12" w:space="0"/>
            </w:tcBorders>
            <w:vAlign w:val="center"/>
          </w:tcPr>
          <w:p>
            <w:pPr>
              <w:adjustRightInd w:val="0"/>
              <w:snapToGrid w:val="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带“★”的重要条款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9"/>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w:t>
            </w:r>
            <w:r>
              <w:rPr>
                <w:rFonts w:hint="eastAsia" w:asciiTheme="minorEastAsia" w:hAnsiTheme="minorEastAsia" w:eastAsiaTheme="minorEastAsia" w:cstheme="minorEastAsia"/>
                <w:color w:val="000000" w:themeColor="text1"/>
                <w:kern w:val="0"/>
                <w14:textFill>
                  <w14:solidFill>
                    <w14:schemeClr w14:val="tx1"/>
                  </w14:solidFill>
                </w14:textFill>
              </w:rPr>
              <w:t>第二章采购需求的技术要求</w:t>
            </w:r>
            <w:r>
              <w:rPr>
                <w:rFonts w:hint="eastAsia" w:asciiTheme="minorEastAsia" w:hAnsiTheme="minorEastAsia" w:eastAsiaTheme="minorEastAsia" w:cstheme="minorEastAsia"/>
                <w:color w:val="000000" w:themeColor="text1"/>
                <w14:textFill>
                  <w14:solidFill>
                    <w14:schemeClr w14:val="tx1"/>
                  </w14:solidFill>
                </w14:textFill>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9"/>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w:t>
            </w:r>
            <w:r>
              <w:rPr>
                <w:rFonts w:hint="eastAsia" w:asciiTheme="minorEastAsia" w:hAnsiTheme="minorEastAsia" w:eastAsiaTheme="minorEastAsia" w:cstheme="minorEastAsia"/>
                <w:color w:val="000000" w:themeColor="text1"/>
                <w:kern w:val="0"/>
                <w14:textFill>
                  <w14:solidFill>
                    <w14:schemeClr w14:val="tx1"/>
                  </w14:solidFill>
                </w14:textFill>
              </w:rPr>
              <w:t>第二章采购需求的技术要求</w:t>
            </w:r>
            <w:r>
              <w:rPr>
                <w:rFonts w:hint="eastAsia" w:asciiTheme="minorEastAsia" w:hAnsiTheme="minorEastAsia" w:eastAsiaTheme="minorEastAsia" w:cstheme="minorEastAsia"/>
                <w:color w:val="000000" w:themeColor="text1"/>
                <w14:textFill>
                  <w14:solidFill>
                    <w14:schemeClr w14:val="tx1"/>
                  </w14:solidFill>
                </w14:textFill>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9"/>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w:t>
            </w:r>
            <w:r>
              <w:rPr>
                <w:rFonts w:hint="eastAsia" w:asciiTheme="minorEastAsia" w:hAnsiTheme="minorEastAsia" w:eastAsiaTheme="minorEastAsia" w:cstheme="minorEastAsia"/>
                <w:color w:val="000000" w:themeColor="text1"/>
                <w:kern w:val="0"/>
                <w14:textFill>
                  <w14:solidFill>
                    <w14:schemeClr w14:val="tx1"/>
                  </w14:solidFill>
                </w14:textFill>
              </w:rPr>
              <w:t>第二章采购需求的技术要求</w:t>
            </w:r>
            <w:r>
              <w:rPr>
                <w:rFonts w:hint="eastAsia" w:asciiTheme="minorEastAsia" w:hAnsiTheme="minorEastAsia" w:eastAsiaTheme="minorEastAsia" w:cstheme="minorEastAsia"/>
                <w:color w:val="000000" w:themeColor="text1"/>
                <w14:textFill>
                  <w14:solidFill>
                    <w14:schemeClr w14:val="tx1"/>
                  </w14:solidFill>
                </w14:textFill>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9026" w:type="dxa"/>
            <w:gridSpan w:val="5"/>
            <w:tcBorders>
              <w:top w:val="single" w:color="auto" w:sz="4" w:space="0"/>
              <w:left w:val="single" w:color="auto" w:sz="12" w:space="0"/>
              <w:bottom w:val="single" w:color="auto" w:sz="4" w:space="0"/>
              <w:right w:val="single" w:color="auto" w:sz="12" w:space="0"/>
            </w:tcBorders>
            <w:vAlign w:val="center"/>
          </w:tcPr>
          <w:p>
            <w:pPr>
              <w:adjustRightInd w:val="0"/>
              <w:snapToGrid w:val="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一般技术条款（除带“★”和“▲”之外的技术条款）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20"/>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w:t>
            </w:r>
            <w:r>
              <w:rPr>
                <w:rFonts w:hint="eastAsia" w:asciiTheme="minorEastAsia" w:hAnsiTheme="minorEastAsia" w:eastAsiaTheme="minorEastAsia" w:cstheme="minorEastAsia"/>
                <w:color w:val="000000" w:themeColor="text1"/>
                <w:kern w:val="0"/>
                <w14:textFill>
                  <w14:solidFill>
                    <w14:schemeClr w14:val="tx1"/>
                  </w14:solidFill>
                </w14:textFill>
              </w:rPr>
              <w:t>第二章采购需求的技术要求</w:t>
            </w:r>
            <w:r>
              <w:rPr>
                <w:rFonts w:hint="eastAsia" w:asciiTheme="minorEastAsia" w:hAnsiTheme="minorEastAsia" w:eastAsiaTheme="minorEastAsia" w:cstheme="minorEastAsia"/>
                <w:color w:val="000000" w:themeColor="text1"/>
                <w14:textFill>
                  <w14:solidFill>
                    <w14:schemeClr w14:val="tx1"/>
                  </w14:solidFill>
                </w14:textFill>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20"/>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w:t>
            </w:r>
            <w:r>
              <w:rPr>
                <w:rFonts w:hint="eastAsia" w:asciiTheme="minorEastAsia" w:hAnsiTheme="minorEastAsia" w:eastAsiaTheme="minorEastAsia" w:cstheme="minorEastAsia"/>
                <w:color w:val="000000" w:themeColor="text1"/>
                <w:kern w:val="0"/>
                <w14:textFill>
                  <w14:solidFill>
                    <w14:schemeClr w14:val="tx1"/>
                  </w14:solidFill>
                </w14:textFill>
              </w:rPr>
              <w:t>第二章采购需求的技术要求</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12" w:space="0"/>
              <w:right w:val="single" w:color="auto" w:sz="4" w:space="0"/>
            </w:tcBorders>
            <w:vAlign w:val="center"/>
          </w:tcPr>
          <w:p>
            <w:pPr>
              <w:numPr>
                <w:ilvl w:val="0"/>
                <w:numId w:val="20"/>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12" w:space="0"/>
              <w:right w:val="single" w:color="auto" w:sz="4" w:space="0"/>
            </w:tcBorders>
            <w:vAlign w:val="center"/>
          </w:tcPr>
          <w:p>
            <w:pPr>
              <w:rPr>
                <w:rFonts w:asciiTheme="minorEastAsia" w:hAnsiTheme="minorEastAsia" w:eastAsiaTheme="minorEastAsia" w:cstheme="minorEastAsia"/>
                <w:i/>
                <w:iCs/>
                <w:color w:val="000000" w:themeColor="text1"/>
                <w:szCs w:val="21"/>
                <w14:textFill>
                  <w14:solidFill>
                    <w14:schemeClr w14:val="tx1"/>
                  </w14:solidFill>
                </w14:textFill>
              </w:rPr>
            </w:pPr>
            <w:r>
              <w:rPr>
                <w:rFonts w:hint="eastAsia" w:asciiTheme="minorEastAsia" w:hAnsiTheme="minorEastAsia" w:eastAsiaTheme="minorEastAsia" w:cstheme="minorEastAsia"/>
                <w:i/>
                <w:iCs/>
                <w:color w:val="000000" w:themeColor="text1"/>
                <w14:textFill>
                  <w14:solidFill>
                    <w14:schemeClr w14:val="tx1"/>
                  </w14:solidFill>
                </w14:textFill>
              </w:rPr>
              <w:t>……（响应人按上述示例自行补充完整，并逐条响应）</w:t>
            </w:r>
          </w:p>
        </w:tc>
        <w:tc>
          <w:tcPr>
            <w:tcW w:w="2325"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Theme="minorEastAsia" w:hAnsiTheme="minorEastAsia" w:eastAsiaTheme="minorEastAsia" w:cstheme="minorEastAsia"/>
                <w:b/>
                <w:bCs/>
                <w:color w:val="000000" w:themeColor="text1"/>
                <w:szCs w:val="21"/>
                <w14:textFill>
                  <w14:solidFill>
                    <w14:schemeClr w14:val="tx1"/>
                  </w14:solidFill>
                </w14:textFill>
              </w:rPr>
            </w:pPr>
          </w:p>
        </w:tc>
        <w:tc>
          <w:tcPr>
            <w:tcW w:w="2032"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344" w:type="dxa"/>
            <w:tcBorders>
              <w:top w:val="single" w:color="auto" w:sz="4" w:space="0"/>
              <w:left w:val="single" w:color="auto" w:sz="4" w:space="0"/>
              <w:bottom w:val="single" w:color="auto" w:sz="12" w:space="0"/>
              <w:right w:val="single" w:color="auto" w:sz="12"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见《响应文件》第页</w:t>
            </w:r>
          </w:p>
        </w:tc>
      </w:tr>
    </w:tbl>
    <w:p>
      <w:pPr>
        <w:spacing w:line="360" w:lineRule="auto"/>
        <w:ind w:right="84" w:rightChars="4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w:t>
      </w:r>
    </w:p>
    <w:p>
      <w:pPr>
        <w:numPr>
          <w:ilvl w:val="0"/>
          <w:numId w:val="21"/>
        </w:numPr>
        <w:adjustRightInd w:val="0"/>
        <w:snapToGrid w:val="0"/>
        <w:spacing w:line="460" w:lineRule="exact"/>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用户需求中的条款要求提供的相关证明资料必须一并提供，否则视为不响应。</w:t>
      </w:r>
    </w:p>
    <w:p>
      <w:pPr>
        <w:numPr>
          <w:ilvl w:val="0"/>
          <w:numId w:val="21"/>
        </w:numPr>
        <w:adjustRightInd w:val="0"/>
        <w:snapToGrid w:val="0"/>
        <w:spacing w:line="460" w:lineRule="exac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“响应文件条款描述”的条款与用户需求中的条款描述不一致的，以用户需求中规定的为准。</w:t>
      </w:r>
    </w:p>
    <w:p>
      <w:pPr>
        <w:adjustRightInd w:val="0"/>
        <w:snapToGrid w:val="0"/>
        <w:spacing w:line="460" w:lineRule="exact"/>
        <w:ind w:left="42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500" w:lineRule="exact"/>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w:t>
      </w:r>
      <w:r>
        <w:rPr>
          <w:rFonts w:hint="eastAsia" w:asciiTheme="minorEastAsia" w:hAnsiTheme="minorEastAsia" w:eastAsiaTheme="minorEastAsia" w:cstheme="minorEastAsia"/>
          <w:color w:val="000000" w:themeColor="text1"/>
          <w14:textFill>
            <w14:solidFill>
              <w14:schemeClr w14:val="tx1"/>
            </w14:solidFill>
          </w14:textFill>
        </w:rPr>
        <w:t>单位盖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p>
    <w:p>
      <w:pPr>
        <w:spacing w:line="520" w:lineRule="exact"/>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法定代表人或响应人授权代表（签署本人姓名或印盖本人姓名章）：</w:t>
      </w: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jc w:val="center"/>
        <w:outlineLvl w:val="2"/>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u w:val="single"/>
          <w14:textFill>
            <w14:solidFill>
              <w14:schemeClr w14:val="tx1"/>
            </w14:solidFill>
          </w14:textFill>
        </w:rPr>
        <w:br w:type="page"/>
      </w:r>
    </w:p>
    <w:p>
      <w:pPr>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93" w:name="_Toc435515308"/>
      <w:bookmarkEnd w:id="93"/>
      <w:bookmarkStart w:id="94" w:name="_Toc435514868"/>
      <w:r>
        <w:rPr>
          <w:rFonts w:hint="eastAsia" w:asciiTheme="minorEastAsia" w:hAnsiTheme="minorEastAsia" w:eastAsiaTheme="minorEastAsia" w:cstheme="minorEastAsia"/>
          <w:b/>
          <w:bCs/>
          <w:color w:val="000000" w:themeColor="text1"/>
          <w:sz w:val="28"/>
          <w:szCs w:val="28"/>
          <w14:textFill>
            <w14:solidFill>
              <w14:schemeClr w14:val="tx1"/>
            </w14:solidFill>
          </w14:textFill>
        </w:rPr>
        <w:t>货物技术服务方案</w:t>
      </w:r>
      <w:bookmarkEnd w:id="94"/>
    </w:p>
    <w:p>
      <w:pPr>
        <w:adjustRightInd w:val="0"/>
        <w:snapToGri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主要内容应包括但不限于以下内容（格式自定）：</w:t>
      </w:r>
    </w:p>
    <w:p>
      <w:pPr>
        <w:numPr>
          <w:ilvl w:val="0"/>
          <w:numId w:val="22"/>
        </w:numPr>
        <w:adjustRightInd w:val="0"/>
        <w:snapToGrid w:val="0"/>
        <w:spacing w:line="360" w:lineRule="auto"/>
        <w:ind w:left="630" w:hanging="630"/>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响应货物的详细情况</w:t>
      </w:r>
    </w:p>
    <w:p>
      <w:pPr>
        <w:numPr>
          <w:ilvl w:val="1"/>
          <w:numId w:val="22"/>
        </w:num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响应货物的技术参数和实施方案。</w:t>
      </w:r>
    </w:p>
    <w:p>
      <w:pPr>
        <w:numPr>
          <w:ilvl w:val="1"/>
          <w:numId w:val="22"/>
        </w:numPr>
        <w:adjustRightInd w:val="0"/>
        <w:snapToGrid w:val="0"/>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响应人认为对响应有利的其他资料。</w:t>
      </w:r>
    </w:p>
    <w:p>
      <w:pPr>
        <w:numPr>
          <w:ilvl w:val="0"/>
          <w:numId w:val="22"/>
        </w:numPr>
        <w:adjustRightInd w:val="0"/>
        <w:snapToGrid w:val="0"/>
        <w:spacing w:line="360" w:lineRule="auto"/>
        <w:ind w:left="630" w:hanging="630"/>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响应技术服务方案</w:t>
      </w:r>
    </w:p>
    <w:p>
      <w:pPr>
        <w:numPr>
          <w:ilvl w:val="1"/>
          <w:numId w:val="22"/>
        </w:num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产品质量保证、安全保障措施；</w:t>
      </w:r>
    </w:p>
    <w:p>
      <w:pPr>
        <w:numPr>
          <w:ilvl w:val="1"/>
          <w:numId w:val="22"/>
        </w:num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整体供货、配送方案；</w:t>
      </w:r>
    </w:p>
    <w:p>
      <w:pPr>
        <w:numPr>
          <w:ilvl w:val="1"/>
          <w:numId w:val="22"/>
        </w:num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质保期及售后服务承诺，关键技术及难点问题的解决等方案；</w:t>
      </w:r>
    </w:p>
    <w:p>
      <w:pPr>
        <w:numPr>
          <w:ilvl w:val="1"/>
          <w:numId w:val="22"/>
        </w:num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售后维修/服务点名称、电话，负责人员及地址（附售后维修/服务点的证明材料）。</w:t>
      </w:r>
    </w:p>
    <w:p>
      <w:pPr>
        <w:numPr>
          <w:ilvl w:val="1"/>
          <w:numId w:val="22"/>
        </w:num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详细说明维护期内的维修保养方案、价格费用及应急维修时间安排、维修服务收费标准。</w:t>
      </w:r>
    </w:p>
    <w:p>
      <w:pPr>
        <w:numPr>
          <w:ilvl w:val="1"/>
          <w:numId w:val="22"/>
        </w:numPr>
        <w:adjustRightInd w:val="0"/>
        <w:snapToGrid w:val="0"/>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响应人认为对响应有利的其他资料。</w:t>
      </w:r>
    </w:p>
    <w:p>
      <w:pPr>
        <w:adjustRightInd w:val="0"/>
        <w:snapToGrid w:val="0"/>
        <w:spacing w:line="360" w:lineRule="auto"/>
        <w:rPr>
          <w:rFonts w:asciiTheme="minorEastAsia" w:hAnsiTheme="minorEastAsia" w:eastAsiaTheme="minorEastAsia" w:cstheme="minorEastAsia"/>
          <w:b/>
          <w:bCs/>
          <w:color w:val="000000" w:themeColor="text1"/>
          <w:szCs w:val="21"/>
          <w14:textFill>
            <w14:solidFill>
              <w14:schemeClr w14:val="tx1"/>
            </w14:solidFill>
          </w14:textFill>
        </w:rPr>
      </w:pPr>
      <w:bookmarkStart w:id="95" w:name="_Toc43264518"/>
      <w:bookmarkEnd w:id="95"/>
      <w:bookmarkStart w:id="96" w:name="_Toc50691037"/>
      <w:bookmarkEnd w:id="96"/>
      <w:bookmarkStart w:id="97" w:name="_Toc50703730"/>
      <w:r>
        <w:rPr>
          <w:rFonts w:hint="eastAsia" w:asciiTheme="minorEastAsia" w:hAnsiTheme="minorEastAsia" w:eastAsiaTheme="minorEastAsia" w:cstheme="minorEastAsia"/>
          <w:b/>
          <w:bCs/>
          <w:color w:val="000000" w:themeColor="text1"/>
          <w14:textFill>
            <w14:solidFill>
              <w14:schemeClr w14:val="tx1"/>
            </w14:solidFill>
          </w14:textFill>
        </w:rPr>
        <w:t xml:space="preserve"> </w:t>
      </w:r>
      <w:bookmarkEnd w:id="97"/>
    </w:p>
    <w:p>
      <w:pPr>
        <w:spacing w:line="500" w:lineRule="exact"/>
        <w:rPr>
          <w:rFonts w:asciiTheme="minorEastAsia" w:hAnsiTheme="minorEastAsia" w:eastAsiaTheme="minorEastAsia" w:cstheme="minorEastAsia"/>
          <w:color w:val="000000" w:themeColor="text1"/>
          <w:spacing w:val="4"/>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 xml:space="preserve"> </w:t>
      </w:r>
    </w:p>
    <w:p>
      <w:pPr>
        <w:spacing w:line="500" w:lineRule="exact"/>
        <w:rPr>
          <w:rFonts w:asciiTheme="minorEastAsia" w:hAnsiTheme="minorEastAsia" w:eastAsiaTheme="minorEastAsia" w:cstheme="minorEastAsia"/>
          <w:color w:val="000000" w:themeColor="text1"/>
          <w:spacing w:val="4"/>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 xml:space="preserve"> </w:t>
      </w:r>
    </w:p>
    <w:p>
      <w:pPr>
        <w:spacing w:line="500" w:lineRule="exact"/>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w:t>
      </w:r>
      <w:r>
        <w:rPr>
          <w:rFonts w:hint="eastAsia" w:asciiTheme="minorEastAsia" w:hAnsiTheme="minorEastAsia" w:eastAsiaTheme="minorEastAsia" w:cstheme="minorEastAsia"/>
          <w:color w:val="000000" w:themeColor="text1"/>
          <w14:textFill>
            <w14:solidFill>
              <w14:schemeClr w14:val="tx1"/>
            </w14:solidFill>
          </w14:textFill>
        </w:rPr>
        <w:t>单位盖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p>
    <w:p>
      <w:pPr>
        <w:spacing w:line="520" w:lineRule="exact"/>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法定代表人或投标人授权代表（签署本人姓名或印盖本人姓名章）：</w:t>
      </w: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widowControl/>
        <w:jc w:val="left"/>
        <w:rPr>
          <w:rFonts w:asciiTheme="minorEastAsia" w:hAnsiTheme="minorEastAsia" w:eastAsiaTheme="minorEastAsia" w:cstheme="minorEastAsia"/>
          <w:color w:val="000000" w:themeColor="text1"/>
          <w:sz w:val="28"/>
          <w:szCs w:val="28"/>
          <w14:textFill>
            <w14:solidFill>
              <w14:schemeClr w14:val="tx1"/>
            </w14:solidFill>
          </w14:textFill>
        </w:rPr>
        <w:sectPr>
          <w:pgSz w:w="11906" w:h="16838"/>
          <w:pgMar w:top="1440" w:right="1286" w:bottom="1440" w:left="1440" w:header="720" w:footer="720" w:gutter="0"/>
          <w:cols w:space="720" w:num="1"/>
          <w:docGrid w:type="lines" w:linePitch="312" w:charSpace="0"/>
        </w:sectPr>
      </w:pPr>
    </w:p>
    <w:p>
      <w:pPr>
        <w:spacing w:line="440" w:lineRule="exact"/>
        <w:ind w:left="426"/>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p>
    <w:p>
      <w:pPr>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98" w:name="_Toc435514869"/>
      <w:bookmarkEnd w:id="98"/>
      <w:bookmarkStart w:id="99" w:name="_Toc435515309"/>
      <w:bookmarkEnd w:id="99"/>
      <w:bookmarkStart w:id="100" w:name="_Toc173553182"/>
      <w:bookmarkEnd w:id="100"/>
      <w:bookmarkStart w:id="101" w:name="_Toc275865616"/>
      <w:r>
        <w:rPr>
          <w:rFonts w:hint="eastAsia" w:asciiTheme="minorEastAsia" w:hAnsiTheme="minorEastAsia" w:eastAsiaTheme="minorEastAsia" w:cstheme="minorEastAsia"/>
          <w:b/>
          <w:bCs/>
          <w:color w:val="000000" w:themeColor="text1"/>
          <w:sz w:val="28"/>
          <w:szCs w:val="28"/>
          <w14:textFill>
            <w14:solidFill>
              <w14:schemeClr w14:val="tx1"/>
            </w14:solidFill>
          </w14:textFill>
        </w:rPr>
        <w:t>响应人基本情况表</w:t>
      </w:r>
      <w:bookmarkEnd w:id="101"/>
    </w:p>
    <w:p>
      <w:pPr>
        <w:numPr>
          <w:ilvl w:val="0"/>
          <w:numId w:val="23"/>
        </w:num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公司基本情况</w:t>
      </w:r>
    </w:p>
    <w:p>
      <w:pPr>
        <w:numPr>
          <w:ilvl w:val="1"/>
          <w:numId w:val="23"/>
        </w:numPr>
        <w:spacing w:line="360" w:lineRule="auto"/>
        <w:ind w:left="42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公司名称：  电话号码：</w:t>
      </w:r>
    </w:p>
    <w:p>
      <w:pPr>
        <w:numPr>
          <w:ilvl w:val="1"/>
          <w:numId w:val="23"/>
        </w:numPr>
        <w:spacing w:line="360" w:lineRule="auto"/>
        <w:ind w:left="42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地    址：  传    真：</w:t>
      </w:r>
    </w:p>
    <w:p>
      <w:pPr>
        <w:numPr>
          <w:ilvl w:val="1"/>
          <w:numId w:val="23"/>
        </w:numPr>
        <w:spacing w:line="360" w:lineRule="auto"/>
        <w:ind w:left="420"/>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注册资金：  经济性质：</w:t>
      </w:r>
    </w:p>
    <w:p>
      <w:pPr>
        <w:numPr>
          <w:ilvl w:val="1"/>
          <w:numId w:val="23"/>
        </w:numPr>
        <w:spacing w:line="360" w:lineRule="auto"/>
        <w:ind w:left="42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公司开户银行名称及账号：</w:t>
      </w:r>
    </w:p>
    <w:p>
      <w:pPr>
        <w:numPr>
          <w:ilvl w:val="1"/>
          <w:numId w:val="23"/>
        </w:numPr>
        <w:spacing w:line="360" w:lineRule="auto"/>
        <w:ind w:left="42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营业注册执照号：</w:t>
      </w:r>
    </w:p>
    <w:p>
      <w:pPr>
        <w:numPr>
          <w:ilvl w:val="1"/>
          <w:numId w:val="23"/>
        </w:numPr>
        <w:spacing w:line="360" w:lineRule="auto"/>
        <w:ind w:left="42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公司简介</w:t>
      </w:r>
    </w:p>
    <w:p>
      <w:pPr>
        <w:spacing w:line="360" w:lineRule="auto"/>
        <w:ind w:left="36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文字描述：发展历程、经营规模及服务理念、技术力量、财务状况、管理水平等方面进行阐述图片描述：经营场所、主要或关键产品介绍、生产场所及工艺流程等。</w:t>
      </w:r>
    </w:p>
    <w:p>
      <w:pPr>
        <w:numPr>
          <w:ilvl w:val="0"/>
          <w:numId w:val="23"/>
        </w:num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响应人获得国家有关部门颁发的资质和国内外知名厂商出具的销售许可证明：</w:t>
      </w:r>
    </w:p>
    <w:tbl>
      <w:tblPr>
        <w:tblStyle w:val="8"/>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491"/>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24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证书名称</w:t>
            </w: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发证单位</w:t>
            </w: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证书等级</w:t>
            </w: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bl>
    <w:p>
      <w:pPr>
        <w:spacing w:line="360" w:lineRule="auto"/>
        <w:ind w:firstLine="315" w:firstLineChars="150"/>
        <w:rPr>
          <w:rFonts w:asciiTheme="minorEastAsia" w:hAnsiTheme="minorEastAsia" w:eastAsiaTheme="minorEastAsia" w:cstheme="minorEastAsia"/>
          <w:color w:val="000000" w:themeColor="text1"/>
          <w:szCs w:val="21"/>
          <w14:textFill>
            <w14:solidFill>
              <w14:schemeClr w14:val="tx1"/>
            </w14:solidFill>
          </w14:textFill>
        </w:rPr>
      </w:pPr>
      <w:bookmarkStart w:id="102" w:name="_Toc43264525"/>
      <w:bookmarkEnd w:id="102"/>
      <w:r>
        <w:rPr>
          <w:rFonts w:hint="eastAsia" w:asciiTheme="minorEastAsia" w:hAnsiTheme="minorEastAsia" w:eastAsiaTheme="minorEastAsia" w:cstheme="minorEastAsia"/>
          <w:color w:val="000000" w:themeColor="text1"/>
          <w14:textFill>
            <w14:solidFill>
              <w14:schemeClr w14:val="tx1"/>
            </w14:solidFill>
          </w14:textFill>
        </w:rPr>
        <w:t>我/我们声明以上所述是正确无误的，您有权进行您认为必要的所有调查，如以上数据有虚假，一经查实，自行承担相关责任。</w:t>
      </w:r>
    </w:p>
    <w:p>
      <w:pPr>
        <w:spacing w:line="500" w:lineRule="exact"/>
        <w:rPr>
          <w:rFonts w:asciiTheme="minorEastAsia" w:hAnsiTheme="minorEastAsia" w:eastAsiaTheme="minorEastAsia" w:cstheme="minorEastAsia"/>
          <w:color w:val="000000" w:themeColor="text1"/>
          <w:spacing w:val="4"/>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 xml:space="preserve"> </w:t>
      </w:r>
    </w:p>
    <w:p>
      <w:pPr>
        <w:spacing w:line="500" w:lineRule="exact"/>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w:t>
      </w:r>
      <w:r>
        <w:rPr>
          <w:rFonts w:hint="eastAsia" w:asciiTheme="minorEastAsia" w:hAnsiTheme="minorEastAsia" w:eastAsiaTheme="minorEastAsia" w:cstheme="minorEastAsia"/>
          <w:color w:val="000000" w:themeColor="text1"/>
          <w14:textFill>
            <w14:solidFill>
              <w14:schemeClr w14:val="tx1"/>
            </w14:solidFill>
          </w14:textFill>
        </w:rPr>
        <w:t>单位盖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p>
    <w:p>
      <w:pPr>
        <w:spacing w:line="520" w:lineRule="exact"/>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法定代表人或响应人授权代表（签署本人姓名或印盖本人姓名章）：</w:t>
      </w: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numPr>
          <w:ilvl w:val="0"/>
          <w:numId w:val="17"/>
        </w:numPr>
        <w:spacing w:line="440" w:lineRule="exact"/>
        <w:ind w:left="426" w:hanging="426"/>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br w:type="page"/>
      </w:r>
    </w:p>
    <w:p>
      <w:pPr>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103" w:name="_Toc50737301"/>
      <w:bookmarkEnd w:id="103"/>
      <w:bookmarkStart w:id="104" w:name="_Toc52165085"/>
      <w:bookmarkEnd w:id="104"/>
      <w:bookmarkStart w:id="105" w:name="_Toc50736481"/>
      <w:bookmarkEnd w:id="105"/>
      <w:bookmarkStart w:id="106" w:name="_Toc50737333"/>
      <w:bookmarkEnd w:id="106"/>
      <w:bookmarkStart w:id="107" w:name="_Toc275865617"/>
      <w:bookmarkEnd w:id="107"/>
      <w:bookmarkStart w:id="108" w:name="_Toc50691044"/>
      <w:bookmarkEnd w:id="108"/>
      <w:bookmarkStart w:id="109" w:name="_Toc435515310"/>
      <w:bookmarkEnd w:id="109"/>
      <w:bookmarkStart w:id="110" w:name="_Toc435514870"/>
      <w:r>
        <w:rPr>
          <w:rFonts w:hint="eastAsia" w:asciiTheme="minorEastAsia" w:hAnsiTheme="minorEastAsia" w:eastAsiaTheme="minorEastAsia" w:cstheme="minorEastAsia"/>
          <w:b/>
          <w:bCs/>
          <w:color w:val="000000" w:themeColor="text1"/>
          <w:sz w:val="28"/>
          <w:szCs w:val="28"/>
          <w14:textFill>
            <w14:solidFill>
              <w14:schemeClr w14:val="tx1"/>
            </w14:solidFill>
          </w14:textFill>
        </w:rPr>
        <w:t>201</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年至今同类项目业绩情况一览表</w:t>
      </w:r>
      <w:bookmarkEnd w:id="110"/>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tbl>
      <w:tblPr>
        <w:tblStyle w:val="8"/>
        <w:tblW w:w="939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3"/>
        <w:gridCol w:w="980"/>
        <w:gridCol w:w="1101"/>
        <w:gridCol w:w="1320"/>
        <w:gridCol w:w="969"/>
        <w:gridCol w:w="1415"/>
        <w:gridCol w:w="1586"/>
        <w:gridCol w:w="15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483" w:type="dxa"/>
            <w:tcBorders>
              <w:top w:val="single" w:color="auto" w:sz="12" w:space="0"/>
              <w:left w:val="single" w:color="auto" w:sz="12"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序号</w:t>
            </w:r>
          </w:p>
        </w:tc>
        <w:tc>
          <w:tcPr>
            <w:tcW w:w="98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业主名称</w:t>
            </w:r>
          </w:p>
        </w:tc>
        <w:tc>
          <w:tcPr>
            <w:tcW w:w="1101"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项目名称</w:t>
            </w:r>
          </w:p>
        </w:tc>
        <w:tc>
          <w:tcPr>
            <w:tcW w:w="132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货物名称</w:t>
            </w:r>
          </w:p>
        </w:tc>
        <w:tc>
          <w:tcPr>
            <w:tcW w:w="969"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合同总价</w:t>
            </w:r>
          </w:p>
        </w:tc>
        <w:tc>
          <w:tcPr>
            <w:tcW w:w="1415"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签约及完成时间</w:t>
            </w:r>
          </w:p>
        </w:tc>
        <w:tc>
          <w:tcPr>
            <w:tcW w:w="1586"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单位联系人及电话</w:t>
            </w:r>
          </w:p>
        </w:tc>
        <w:tc>
          <w:tcPr>
            <w:tcW w:w="1542" w:type="dxa"/>
            <w:tcBorders>
              <w:top w:val="single" w:color="auto" w:sz="12" w:space="0"/>
              <w:left w:val="single" w:color="auto" w:sz="4" w:space="0"/>
              <w:bottom w:val="double" w:color="auto" w:sz="2" w:space="0"/>
              <w:right w:val="single" w:color="auto" w:sz="12" w:space="0"/>
            </w:tcBorders>
            <w:shd w:val="clear" w:color="auto" w:fill="EEECE1"/>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83" w:type="dxa"/>
            <w:tcBorders>
              <w:top w:val="single" w:color="auto" w:sz="4" w:space="0"/>
              <w:left w:val="single" w:color="auto" w:sz="12" w:space="0"/>
              <w:bottom w:val="single" w:color="auto" w:sz="12" w:space="0"/>
              <w:right w:val="single" w:color="auto" w:sz="4" w:space="0"/>
            </w:tcBorders>
            <w:vAlign w:val="center"/>
          </w:tcPr>
          <w:p>
            <w:pPr>
              <w:numPr>
                <w:ilvl w:val="0"/>
                <w:numId w:val="24"/>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980"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101"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320"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969"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15"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86"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42" w:type="dxa"/>
            <w:tcBorders>
              <w:top w:val="single" w:color="auto" w:sz="4" w:space="0"/>
              <w:left w:val="single" w:color="auto" w:sz="4" w:space="0"/>
              <w:bottom w:val="single" w:color="auto" w:sz="12" w:space="0"/>
              <w:right w:val="single" w:color="auto" w:sz="12" w:space="0"/>
            </w:tcBorders>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见《响应文件》第页</w:t>
            </w:r>
          </w:p>
        </w:tc>
      </w:tr>
    </w:tbl>
    <w:p>
      <w:pPr>
        <w:spacing w:line="440" w:lineRule="exact"/>
        <w:ind w:left="-141" w:leftChars="-67"/>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备注</w:t>
      </w:r>
      <w:r>
        <w:rPr>
          <w:rFonts w:hint="eastAsia" w:asciiTheme="minorEastAsia" w:hAnsiTheme="minorEastAsia" w:eastAsiaTheme="minorEastAsia" w:cstheme="minorEastAsia"/>
          <w:color w:val="000000" w:themeColor="text1"/>
          <w14:textFill>
            <w14:solidFill>
              <w14:schemeClr w14:val="tx1"/>
            </w14:solidFill>
          </w14:textFill>
        </w:rPr>
        <w:t>：根据评分表的要求提交相应资料。</w:t>
      </w:r>
    </w:p>
    <w:p>
      <w:pPr>
        <w:spacing w:line="440" w:lineRule="exact"/>
        <w:ind w:left="-141" w:leftChars="-67"/>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w:t>
      </w:r>
      <w:r>
        <w:rPr>
          <w:rFonts w:hint="eastAsia" w:asciiTheme="minorEastAsia" w:hAnsiTheme="minorEastAsia" w:eastAsiaTheme="minorEastAsia" w:cstheme="minorEastAsia"/>
          <w:color w:val="000000" w:themeColor="text1"/>
          <w14:textFill>
            <w14:solidFill>
              <w14:schemeClr w14:val="tx1"/>
            </w14:solidFill>
          </w14:textFill>
        </w:rPr>
        <w:t>单位盖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p>
    <w:p>
      <w:pPr>
        <w:spacing w:line="520" w:lineRule="exact"/>
        <w:ind w:left="-141" w:leftChars="-67"/>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法定代表人或响应人授权代表（签署本人姓名或印盖本人姓名章）：</w:t>
      </w: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spacing w:line="520" w:lineRule="exact"/>
        <w:ind w:left="-141" w:leftChars="-67"/>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spacing w:val="4"/>
          <w:u w:val="single"/>
          <w14:textFill>
            <w14:solidFill>
              <w14:schemeClr w14:val="tx1"/>
            </w14:solidFill>
          </w14:textFill>
        </w:rPr>
        <w:t xml:space="preserve"> </w:t>
      </w:r>
    </w:p>
    <w:p>
      <w:pPr>
        <w:spacing w:line="520" w:lineRule="exact"/>
        <w:ind w:left="-141" w:leftChars="-67"/>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spacing w:val="4"/>
          <w:u w:val="single"/>
          <w14:textFill>
            <w14:solidFill>
              <w14:schemeClr w14:val="tx1"/>
            </w14:solidFill>
          </w14:textFill>
        </w:rPr>
        <w:t xml:space="preserve"> </w:t>
      </w:r>
    </w:p>
    <w:p>
      <w:pPr>
        <w:spacing w:line="440" w:lineRule="exact"/>
        <w:ind w:left="426"/>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拟投入本项目的团队人员情况</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tbl>
      <w:tblPr>
        <w:tblStyle w:val="8"/>
        <w:tblW w:w="950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037"/>
        <w:gridCol w:w="695"/>
        <w:gridCol w:w="720"/>
        <w:gridCol w:w="825"/>
        <w:gridCol w:w="980"/>
        <w:gridCol w:w="862"/>
        <w:gridCol w:w="733"/>
        <w:gridCol w:w="1686"/>
        <w:gridCol w:w="13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574" w:type="dxa"/>
            <w:tcBorders>
              <w:top w:val="single" w:color="auto" w:sz="12" w:space="0"/>
              <w:left w:val="single" w:color="auto" w:sz="12"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序号</w:t>
            </w:r>
          </w:p>
        </w:tc>
        <w:tc>
          <w:tcPr>
            <w:tcW w:w="1037"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姓名</w:t>
            </w:r>
          </w:p>
        </w:tc>
        <w:tc>
          <w:tcPr>
            <w:tcW w:w="695"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性别</w:t>
            </w:r>
          </w:p>
        </w:tc>
        <w:tc>
          <w:tcPr>
            <w:tcW w:w="72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年龄</w:t>
            </w:r>
          </w:p>
        </w:tc>
        <w:tc>
          <w:tcPr>
            <w:tcW w:w="825"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学历</w:t>
            </w:r>
          </w:p>
        </w:tc>
        <w:tc>
          <w:tcPr>
            <w:tcW w:w="98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职称</w:t>
            </w:r>
          </w:p>
        </w:tc>
        <w:tc>
          <w:tcPr>
            <w:tcW w:w="862"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专业</w:t>
            </w:r>
          </w:p>
        </w:tc>
        <w:tc>
          <w:tcPr>
            <w:tcW w:w="733"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经验年限</w:t>
            </w:r>
          </w:p>
        </w:tc>
        <w:tc>
          <w:tcPr>
            <w:tcW w:w="1686"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拟担任职务或承担工作内容</w:t>
            </w:r>
          </w:p>
        </w:tc>
        <w:tc>
          <w:tcPr>
            <w:tcW w:w="1394" w:type="dxa"/>
            <w:tcBorders>
              <w:top w:val="single" w:color="auto" w:sz="12" w:space="0"/>
              <w:left w:val="single" w:color="auto" w:sz="4" w:space="0"/>
              <w:bottom w:val="double" w:color="auto" w:sz="2" w:space="0"/>
              <w:right w:val="single" w:color="auto" w:sz="12" w:space="0"/>
            </w:tcBorders>
            <w:shd w:val="clear" w:color="auto" w:fill="EEECE1"/>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574" w:type="dxa"/>
            <w:tcBorders>
              <w:top w:val="single" w:color="auto" w:sz="4" w:space="0"/>
              <w:left w:val="single" w:color="auto" w:sz="12" w:space="0"/>
              <w:bottom w:val="single" w:color="auto" w:sz="12" w:space="0"/>
              <w:right w:val="single" w:color="auto" w:sz="4" w:space="0"/>
            </w:tcBorders>
            <w:vAlign w:val="center"/>
          </w:tcPr>
          <w:p>
            <w:pPr>
              <w:numPr>
                <w:ilvl w:val="0"/>
                <w:numId w:val="2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37"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95"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825"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980"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862"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733"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686"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394" w:type="dxa"/>
            <w:tcBorders>
              <w:top w:val="single" w:color="auto" w:sz="4" w:space="0"/>
              <w:left w:val="single" w:color="auto" w:sz="4" w:space="0"/>
              <w:bottom w:val="single" w:color="auto" w:sz="12" w:space="0"/>
              <w:right w:val="single" w:color="auto" w:sz="12" w:space="0"/>
            </w:tcBorders>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见《响应文件》第页</w:t>
            </w:r>
          </w:p>
        </w:tc>
      </w:tr>
    </w:tbl>
    <w:p>
      <w:pPr>
        <w:spacing w:line="520" w:lineRule="exact"/>
        <w:ind w:left="-141" w:leftChars="-67"/>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备注：提供以上人员的学历、职称证书复印件。</w:t>
      </w:r>
    </w:p>
    <w:p>
      <w:pPr>
        <w:spacing w:line="520" w:lineRule="exact"/>
        <w:ind w:left="-141" w:leftChars="-67"/>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w:t>
      </w:r>
      <w:r>
        <w:rPr>
          <w:rFonts w:hint="eastAsia" w:asciiTheme="minorEastAsia" w:hAnsiTheme="minorEastAsia" w:eastAsiaTheme="minorEastAsia" w:cstheme="minorEastAsia"/>
          <w:color w:val="000000" w:themeColor="text1"/>
          <w14:textFill>
            <w14:solidFill>
              <w14:schemeClr w14:val="tx1"/>
            </w14:solidFill>
          </w14:textFill>
        </w:rPr>
        <w:t>单位盖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p>
    <w:p>
      <w:pPr>
        <w:spacing w:line="520" w:lineRule="exact"/>
        <w:ind w:left="-141" w:leftChars="-67"/>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法定代表人或响应人授权代表（签署本人姓名或印盖本人姓名章）：</w:t>
      </w: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numPr>
          <w:ilvl w:val="0"/>
          <w:numId w:val="17"/>
        </w:numPr>
        <w:spacing w:line="440" w:lineRule="exact"/>
        <w:ind w:left="426" w:hanging="426"/>
        <w:rPr>
          <w:rFonts w:asciiTheme="minorEastAsia" w:hAnsiTheme="minorEastAsia" w:eastAsiaTheme="minorEastAsia" w:cstheme="minorEastAsia"/>
          <w:color w:val="000000" w:themeColor="text1"/>
          <w:spacing w:val="4"/>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br w:type="page"/>
      </w:r>
      <w:bookmarkStart w:id="111" w:name="_Toc259022219"/>
      <w:bookmarkEnd w:id="111"/>
    </w:p>
    <w:p>
      <w:pPr>
        <w:spacing w:line="520" w:lineRule="exact"/>
        <w:ind w:left="-141" w:leftChars="-67"/>
        <w:rPr>
          <w:rFonts w:asciiTheme="minorEastAsia" w:hAnsiTheme="minorEastAsia" w:eastAsiaTheme="minorEastAsia" w:cstheme="minorEastAsia"/>
          <w:color w:val="000000" w:themeColor="text1"/>
          <w:spacing w:val="4"/>
          <w14:textFill>
            <w14:solidFill>
              <w14:schemeClr w14:val="tx1"/>
            </w14:solidFill>
          </w14:textFill>
        </w:rPr>
      </w:pPr>
      <w:bookmarkStart w:id="112" w:name="_Toc275865621"/>
      <w:bookmarkEnd w:id="112"/>
      <w:bookmarkStart w:id="113" w:name="_Toc435514872"/>
      <w:bookmarkEnd w:id="113"/>
      <w:r>
        <w:rPr>
          <w:rFonts w:hint="eastAsia" w:asciiTheme="minorEastAsia" w:hAnsiTheme="minorEastAsia" w:eastAsiaTheme="minorEastAsia" w:cstheme="minorEastAsia"/>
          <w:color w:val="000000" w:themeColor="text1"/>
          <w:spacing w:val="4"/>
          <w14:textFill>
            <w14:solidFill>
              <w14:schemeClr w14:val="tx1"/>
            </w14:solidFill>
          </w14:textFill>
        </w:rPr>
        <w:t xml:space="preserve"> </w:t>
      </w:r>
    </w:p>
    <w:p>
      <w:pPr>
        <w:spacing w:line="520" w:lineRule="exact"/>
        <w:rPr>
          <w:rFonts w:asciiTheme="minorEastAsia" w:hAnsiTheme="minorEastAsia" w:eastAsiaTheme="minorEastAsia" w:cstheme="minorEastAsia"/>
          <w:color w:val="000000" w:themeColor="text1"/>
          <w:sz w:val="10"/>
          <w:szCs w:val="10"/>
          <w14:textFill>
            <w14:solidFill>
              <w14:schemeClr w14:val="tx1"/>
            </w14:solidFill>
          </w14:textFill>
        </w:rPr>
      </w:pPr>
      <w:r>
        <w:rPr>
          <w:rFonts w:hint="eastAsia" w:asciiTheme="minorEastAsia" w:hAnsiTheme="minorEastAsia" w:eastAsiaTheme="minorEastAsia" w:cstheme="minorEastAsia"/>
          <w:color w:val="000000" w:themeColor="text1"/>
          <w:sz w:val="10"/>
          <w:szCs w:val="10"/>
          <w14:textFill>
            <w14:solidFill>
              <w14:schemeClr w14:val="tx1"/>
            </w14:solidFill>
          </w14:textFill>
        </w:rPr>
        <w:t xml:space="preserve"> </w:t>
      </w:r>
    </w:p>
    <w:p>
      <w:pPr>
        <w:rPr>
          <w:rFonts w:asciiTheme="minorEastAsia" w:hAnsiTheme="minorEastAsia" w:eastAsiaTheme="minorEastAsia" w:cstheme="minorEastAsia"/>
          <w:color w:val="000000" w:themeColor="text1"/>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8CD7"/>
    <w:multiLevelType w:val="singleLevel"/>
    <w:tmpl w:val="00B18CD7"/>
    <w:lvl w:ilvl="0" w:tentative="0">
      <w:start w:val="1"/>
      <w:numFmt w:val="decimal"/>
      <w:suff w:val="nothing"/>
      <w:lvlText w:val="%1、"/>
      <w:lvlJc w:val="left"/>
    </w:lvl>
  </w:abstractNum>
  <w:abstractNum w:abstractNumId="1">
    <w:nsid w:val="02A53596"/>
    <w:multiLevelType w:val="multilevel"/>
    <w:tmpl w:val="02A53596"/>
    <w:lvl w:ilvl="0" w:tentative="0">
      <w:start w:val="1"/>
      <w:numFmt w:val="decimal"/>
      <w:lvlText w:val="%1."/>
      <w:lvlJc w:val="center"/>
      <w:pPr>
        <w:ind w:left="624" w:hanging="624"/>
      </w:pPr>
      <w:rPr>
        <w:rFonts w:hint="eastAsia" w:ascii="宋体" w:hAnsi="宋体" w:eastAsia="宋体"/>
        <w:b w:val="0"/>
        <w:bCs w:val="0"/>
        <w:sz w:val="21"/>
        <w:szCs w:val="21"/>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0BBB3609"/>
    <w:multiLevelType w:val="multilevel"/>
    <w:tmpl w:val="0BBB3609"/>
    <w:lvl w:ilvl="0" w:tentative="0">
      <w:start w:val="1"/>
      <w:numFmt w:val="decimal"/>
      <w:lvlText w:val="(%1)"/>
      <w:lvlJc w:val="left"/>
      <w:pPr>
        <w:ind w:left="1128" w:hanging="420"/>
      </w:pPr>
      <w:rPr>
        <w:rFonts w:hint="eastAsia"/>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3">
    <w:nsid w:val="0D873400"/>
    <w:multiLevelType w:val="multilevel"/>
    <w:tmpl w:val="0D873400"/>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
    <w:nsid w:val="12C83A8D"/>
    <w:multiLevelType w:val="multilevel"/>
    <w:tmpl w:val="12C83A8D"/>
    <w:lvl w:ilvl="0" w:tentative="0">
      <w:start w:val="1"/>
      <w:numFmt w:val="decimal"/>
      <w:lvlText w:val="4.%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1B6812CB"/>
    <w:multiLevelType w:val="multilevel"/>
    <w:tmpl w:val="1B6812CB"/>
    <w:lvl w:ilvl="0" w:tentative="0">
      <w:start w:val="2"/>
      <w:numFmt w:val="decimal"/>
      <w:lvlText w:val="(%1)"/>
      <w:lvlJc w:val="left"/>
      <w:pPr>
        <w:tabs>
          <w:tab w:val="left" w:pos="1200"/>
        </w:tabs>
        <w:ind w:left="1200" w:hanging="360"/>
      </w:pPr>
      <w:rPr>
        <w:rFonts w:hint="default" w:ascii="Times New Roman" w:hAnsi="Times New Roman" w:cs="Times New Roman"/>
      </w:rPr>
    </w:lvl>
    <w:lvl w:ilvl="1" w:tentative="0">
      <w:start w:val="1"/>
      <w:numFmt w:val="decimal"/>
      <w:lvlText w:val="%2．"/>
      <w:lvlJc w:val="left"/>
      <w:pPr>
        <w:tabs>
          <w:tab w:val="left" w:pos="1620"/>
        </w:tabs>
        <w:ind w:left="1620" w:hanging="360"/>
      </w:pPr>
      <w:rPr>
        <w:rFonts w:hint="eastAsia" w:ascii="宋体" w:hAnsi="宋体" w:eastAsia="宋体"/>
      </w:rPr>
    </w:lvl>
    <w:lvl w:ilvl="2" w:tentative="0">
      <w:start w:val="1"/>
      <w:numFmt w:val="japaneseCounting"/>
      <w:lvlText w:val="%3、"/>
      <w:lvlJc w:val="left"/>
      <w:pPr>
        <w:ind w:left="2100" w:hanging="420"/>
      </w:pPr>
      <w:rPr>
        <w:rFonts w:hint="default" w:ascii="Times New Roman" w:hAnsi="Times New Roman" w:cs="Times New Roman"/>
      </w:rPr>
    </w:lvl>
    <w:lvl w:ilvl="3" w:tentative="0">
      <w:start w:val="1"/>
      <w:numFmt w:val="decimal"/>
      <w:lvlText w:val="%4."/>
      <w:lvlJc w:val="left"/>
      <w:pPr>
        <w:tabs>
          <w:tab w:val="left" w:pos="2520"/>
        </w:tabs>
        <w:ind w:left="2520" w:hanging="420"/>
      </w:pPr>
      <w:rPr>
        <w:rFonts w:hint="default" w:ascii="Times New Roman" w:hAnsi="Times New Roman" w:cs="Times New Roman"/>
      </w:rPr>
    </w:lvl>
    <w:lvl w:ilvl="4" w:tentative="0">
      <w:start w:val="1"/>
      <w:numFmt w:val="lowerLetter"/>
      <w:lvlText w:val="%5)"/>
      <w:lvlJc w:val="left"/>
      <w:pPr>
        <w:tabs>
          <w:tab w:val="left" w:pos="2940"/>
        </w:tabs>
        <w:ind w:left="2940" w:hanging="420"/>
      </w:pPr>
      <w:rPr>
        <w:rFonts w:hint="default" w:ascii="Times New Roman" w:hAnsi="Times New Roman" w:cs="Times New Roman"/>
      </w:rPr>
    </w:lvl>
    <w:lvl w:ilvl="5" w:tentative="0">
      <w:start w:val="1"/>
      <w:numFmt w:val="lowerRoman"/>
      <w:lvlText w:val="%6."/>
      <w:lvlJc w:val="right"/>
      <w:pPr>
        <w:tabs>
          <w:tab w:val="left" w:pos="3360"/>
        </w:tabs>
        <w:ind w:left="3360" w:hanging="420"/>
      </w:pPr>
      <w:rPr>
        <w:rFonts w:hint="default" w:ascii="Times New Roman" w:hAnsi="Times New Roman" w:cs="Times New Roman"/>
      </w:rPr>
    </w:lvl>
    <w:lvl w:ilvl="6" w:tentative="0">
      <w:start w:val="1"/>
      <w:numFmt w:val="decimal"/>
      <w:lvlText w:val="%7."/>
      <w:lvlJc w:val="left"/>
      <w:pPr>
        <w:tabs>
          <w:tab w:val="left" w:pos="3780"/>
        </w:tabs>
        <w:ind w:left="3780" w:hanging="420"/>
      </w:pPr>
      <w:rPr>
        <w:rFonts w:hint="default" w:ascii="Times New Roman" w:hAnsi="Times New Roman" w:cs="Times New Roman"/>
      </w:rPr>
    </w:lvl>
    <w:lvl w:ilvl="7" w:tentative="0">
      <w:start w:val="1"/>
      <w:numFmt w:val="lowerLetter"/>
      <w:lvlText w:val="%8)"/>
      <w:lvlJc w:val="left"/>
      <w:pPr>
        <w:tabs>
          <w:tab w:val="left" w:pos="4200"/>
        </w:tabs>
        <w:ind w:left="4200" w:hanging="420"/>
      </w:pPr>
      <w:rPr>
        <w:rFonts w:hint="default" w:ascii="Times New Roman" w:hAnsi="Times New Roman" w:cs="Times New Roman"/>
      </w:rPr>
    </w:lvl>
    <w:lvl w:ilvl="8" w:tentative="0">
      <w:start w:val="1"/>
      <w:numFmt w:val="lowerRoman"/>
      <w:lvlText w:val="%9."/>
      <w:lvlJc w:val="right"/>
      <w:pPr>
        <w:tabs>
          <w:tab w:val="left" w:pos="4620"/>
        </w:tabs>
        <w:ind w:left="4620" w:hanging="420"/>
      </w:pPr>
      <w:rPr>
        <w:rFonts w:hint="default" w:ascii="Times New Roman" w:hAnsi="Times New Roman" w:cs="Times New Roman"/>
      </w:rPr>
    </w:lvl>
  </w:abstractNum>
  <w:abstractNum w:abstractNumId="6">
    <w:nsid w:val="1DD6424E"/>
    <w:multiLevelType w:val="multilevel"/>
    <w:tmpl w:val="1DD6424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EF43521"/>
    <w:multiLevelType w:val="multilevel"/>
    <w:tmpl w:val="1EF43521"/>
    <w:lvl w:ilvl="0" w:tentative="0">
      <w:start w:val="1"/>
      <w:numFmt w:val="decimal"/>
      <w:lvlText w:val="格式%1"/>
      <w:lvlJc w:val="left"/>
      <w:pPr>
        <w:tabs>
          <w:tab w:val="left" w:pos="709"/>
        </w:tabs>
        <w:ind w:left="709" w:hanging="425"/>
      </w:pPr>
      <w:rPr>
        <w:rFonts w:hint="eastAsia" w:ascii="仿宋_GB2312" w:eastAsia="仿宋_GB2312"/>
        <w:b/>
        <w:bCs/>
        <w:sz w:val="28"/>
        <w:szCs w:val="28"/>
      </w:rPr>
    </w:lvl>
    <w:lvl w:ilvl="1" w:tentative="0">
      <w:start w:val="1"/>
      <w:numFmt w:val="decimal"/>
      <w:lvlText w:val="%1.%2"/>
      <w:lvlJc w:val="left"/>
      <w:pPr>
        <w:tabs>
          <w:tab w:val="left" w:pos="992"/>
        </w:tabs>
        <w:ind w:left="992" w:hanging="567"/>
      </w:pPr>
      <w:rPr>
        <w:rFonts w:hint="eastAsia" w:ascii="宋体" w:hAnsi="宋体" w:eastAsia="宋体"/>
      </w:rPr>
    </w:lvl>
    <w:lvl w:ilvl="2" w:tentative="0">
      <w:start w:val="1"/>
      <w:numFmt w:val="decimal"/>
      <w:lvlText w:val="%1.%2.%3"/>
      <w:lvlJc w:val="left"/>
      <w:pPr>
        <w:tabs>
          <w:tab w:val="left" w:pos="1418"/>
        </w:tabs>
        <w:ind w:left="1418" w:hanging="567"/>
      </w:pPr>
      <w:rPr>
        <w:rFonts w:hint="eastAsia" w:ascii="宋体" w:hAnsi="宋体" w:eastAsia="宋体"/>
      </w:rPr>
    </w:lvl>
    <w:lvl w:ilvl="3" w:tentative="0">
      <w:start w:val="1"/>
      <w:numFmt w:val="decimal"/>
      <w:lvlText w:val="%1.%2.%3.%4"/>
      <w:lvlJc w:val="left"/>
      <w:pPr>
        <w:tabs>
          <w:tab w:val="left" w:pos="2356"/>
        </w:tabs>
        <w:ind w:left="1984" w:hanging="708"/>
      </w:pPr>
      <w:rPr>
        <w:rFonts w:hint="eastAsia" w:ascii="宋体" w:hAnsi="宋体" w:eastAsia="宋体"/>
      </w:rPr>
    </w:lvl>
    <w:lvl w:ilvl="4" w:tentative="0">
      <w:start w:val="1"/>
      <w:numFmt w:val="decimal"/>
      <w:lvlText w:val="%1.%2.%3.%4.%5"/>
      <w:lvlJc w:val="left"/>
      <w:pPr>
        <w:tabs>
          <w:tab w:val="left" w:pos="2781"/>
        </w:tabs>
        <w:ind w:left="2551" w:hanging="850"/>
      </w:pPr>
      <w:rPr>
        <w:rFonts w:hint="eastAsia" w:ascii="宋体" w:hAnsi="宋体" w:eastAsia="宋体"/>
      </w:rPr>
    </w:lvl>
    <w:lvl w:ilvl="5" w:tentative="0">
      <w:start w:val="1"/>
      <w:numFmt w:val="decimal"/>
      <w:lvlText w:val="%1.%2.%3.%4.%5.%6"/>
      <w:lvlJc w:val="left"/>
      <w:pPr>
        <w:tabs>
          <w:tab w:val="left" w:pos="3566"/>
        </w:tabs>
        <w:ind w:left="3260" w:hanging="1134"/>
      </w:pPr>
      <w:rPr>
        <w:rFonts w:hint="eastAsia" w:ascii="宋体" w:hAnsi="宋体" w:eastAsia="宋体"/>
      </w:rPr>
    </w:lvl>
    <w:lvl w:ilvl="6" w:tentative="0">
      <w:start w:val="1"/>
      <w:numFmt w:val="decimal"/>
      <w:lvlText w:val="%1.%2.%3.%4.%5.%6.%7"/>
      <w:lvlJc w:val="left"/>
      <w:pPr>
        <w:tabs>
          <w:tab w:val="left" w:pos="3991"/>
        </w:tabs>
        <w:ind w:left="3827" w:hanging="1276"/>
      </w:pPr>
      <w:rPr>
        <w:rFonts w:hint="eastAsia" w:ascii="宋体" w:hAnsi="宋体" w:eastAsia="宋体"/>
      </w:rPr>
    </w:lvl>
    <w:lvl w:ilvl="7" w:tentative="0">
      <w:start w:val="1"/>
      <w:numFmt w:val="decimal"/>
      <w:lvlText w:val="%1.%2.%3.%4.%5.%6.%7.%8"/>
      <w:lvlJc w:val="left"/>
      <w:pPr>
        <w:tabs>
          <w:tab w:val="left" w:pos="4776"/>
        </w:tabs>
        <w:ind w:left="4394" w:hanging="1418"/>
      </w:pPr>
      <w:rPr>
        <w:rFonts w:hint="eastAsia" w:ascii="宋体" w:hAnsi="宋体" w:eastAsia="宋体"/>
      </w:rPr>
    </w:lvl>
    <w:lvl w:ilvl="8" w:tentative="0">
      <w:start w:val="1"/>
      <w:numFmt w:val="decimal"/>
      <w:lvlText w:val="%1.%2.%3.%4.%5.%6.%7.%8.%9"/>
      <w:lvlJc w:val="left"/>
      <w:pPr>
        <w:tabs>
          <w:tab w:val="left" w:pos="5202"/>
        </w:tabs>
        <w:ind w:left="5102" w:hanging="1700"/>
      </w:pPr>
      <w:rPr>
        <w:rFonts w:hint="eastAsia" w:ascii="宋体" w:hAnsi="宋体" w:eastAsia="宋体"/>
      </w:rPr>
    </w:lvl>
  </w:abstractNum>
  <w:abstractNum w:abstractNumId="8">
    <w:nsid w:val="228B7220"/>
    <w:multiLevelType w:val="multilevel"/>
    <w:tmpl w:val="228B7220"/>
    <w:lvl w:ilvl="0" w:tentative="0">
      <w:start w:val="1"/>
      <w:numFmt w:val="chineseCountingThousand"/>
      <w:lvlText w:val="%1、"/>
      <w:lvlJc w:val="left"/>
      <w:pPr>
        <w:ind w:left="851" w:hanging="425"/>
      </w:pPr>
      <w:rPr>
        <w:rFonts w:hint="eastAsia" w:ascii="宋体" w:hAnsi="宋体" w:eastAsia="宋体"/>
        <w:sz w:val="21"/>
        <w:szCs w:val="21"/>
      </w:rPr>
    </w:lvl>
    <w:lvl w:ilvl="1" w:tentative="0">
      <w:start w:val="1"/>
      <w:numFmt w:val="chineseCountingThousand"/>
      <w:lvlText w:val="（%2）"/>
      <w:lvlJc w:val="left"/>
      <w:pPr>
        <w:ind w:left="992" w:hanging="567"/>
      </w:pPr>
      <w:rPr>
        <w:rFonts w:hint="eastAsia" w:ascii="仿宋_GB2312" w:eastAsia="仿宋_GB2312"/>
        <w:sz w:val="24"/>
        <w:szCs w:val="24"/>
      </w:rPr>
    </w:lvl>
    <w:lvl w:ilvl="2" w:tentative="0">
      <w:start w:val="1"/>
      <w:numFmt w:val="decimal"/>
      <w:lvlText w:val="%3."/>
      <w:lvlJc w:val="left"/>
      <w:pPr>
        <w:ind w:left="1418" w:hanging="567"/>
      </w:pPr>
      <w:rPr>
        <w:rFonts w:hint="eastAsia" w:ascii="仿宋_GB2312" w:eastAsia="仿宋_GB2312"/>
        <w:sz w:val="24"/>
        <w:szCs w:val="24"/>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9">
    <w:nsid w:val="26ED0C46"/>
    <w:multiLevelType w:val="multilevel"/>
    <w:tmpl w:val="26ED0C46"/>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0">
    <w:nsid w:val="2AE8416D"/>
    <w:multiLevelType w:val="multilevel"/>
    <w:tmpl w:val="2AE8416D"/>
    <w:lvl w:ilvl="0" w:tentative="0">
      <w:start w:val="1"/>
      <w:numFmt w:val="japaneseCounting"/>
      <w:lvlText w:val="第%1章"/>
      <w:lvlJc w:val="left"/>
      <w:pPr>
        <w:ind w:left="1140" w:hanging="72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1">
    <w:nsid w:val="31583826"/>
    <w:multiLevelType w:val="multilevel"/>
    <w:tmpl w:val="31583826"/>
    <w:lvl w:ilvl="0" w:tentative="0">
      <w:start w:val="1"/>
      <w:numFmt w:val="chineseCountingThousand"/>
      <w:lvlText w:val="%1、"/>
      <w:lvlJc w:val="left"/>
      <w:pPr>
        <w:tabs>
          <w:tab w:val="left" w:pos="425"/>
        </w:tabs>
        <w:ind w:left="425" w:hanging="425"/>
      </w:pPr>
      <w:rPr>
        <w:rFonts w:hint="eastAsia" w:ascii="宋体" w:hAnsi="宋体" w:eastAsia="宋体"/>
        <w:b/>
        <w:bCs/>
      </w:rPr>
    </w:lvl>
    <w:lvl w:ilvl="1" w:tentative="0">
      <w:start w:val="1"/>
      <w:numFmt w:val="decimal"/>
      <w:lvlText w:val="%1.%2"/>
      <w:lvlJc w:val="left"/>
      <w:pPr>
        <w:tabs>
          <w:tab w:val="left" w:pos="567"/>
        </w:tabs>
        <w:ind w:left="567" w:hanging="567"/>
      </w:pPr>
      <w:rPr>
        <w:rFonts w:hint="eastAsia" w:ascii="宋体" w:hAnsi="宋体" w:eastAsia="宋体"/>
        <w:b w:val="0"/>
        <w:bCs w:val="0"/>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ascii="宋体" w:hAnsi="宋体" w:eastAsia="宋体"/>
      </w:rPr>
    </w:lvl>
    <w:lvl w:ilvl="5" w:tentative="0">
      <w:start w:val="1"/>
      <w:numFmt w:val="decimal"/>
      <w:lvlText w:val="%1.%2.%3.%4.%5.%6."/>
      <w:lvlJc w:val="left"/>
      <w:pPr>
        <w:tabs>
          <w:tab w:val="left" w:pos="1134"/>
        </w:tabs>
        <w:ind w:left="1134" w:hanging="1134"/>
      </w:pPr>
      <w:rPr>
        <w:rFonts w:hint="eastAsia" w:ascii="宋体" w:hAnsi="宋体" w:eastAsia="宋体"/>
      </w:rPr>
    </w:lvl>
    <w:lvl w:ilvl="6" w:tentative="0">
      <w:start w:val="1"/>
      <w:numFmt w:val="decimal"/>
      <w:lvlText w:val="%1.%2.%3.%4.%5.%6.%7."/>
      <w:lvlJc w:val="left"/>
      <w:pPr>
        <w:tabs>
          <w:tab w:val="left" w:pos="1276"/>
        </w:tabs>
        <w:ind w:left="1276" w:hanging="1276"/>
      </w:pPr>
      <w:rPr>
        <w:rFonts w:hint="eastAsia" w:ascii="宋体" w:hAnsi="宋体" w:eastAsia="宋体"/>
      </w:rPr>
    </w:lvl>
    <w:lvl w:ilvl="7" w:tentative="0">
      <w:start w:val="1"/>
      <w:numFmt w:val="decimal"/>
      <w:lvlText w:val="%1.%2.%3.%4.%5.%6.%7.%8."/>
      <w:lvlJc w:val="left"/>
      <w:pPr>
        <w:tabs>
          <w:tab w:val="left" w:pos="1418"/>
        </w:tabs>
        <w:ind w:left="1418" w:hanging="1418"/>
      </w:pPr>
      <w:rPr>
        <w:rFonts w:hint="eastAsia" w:ascii="宋体" w:hAnsi="宋体" w:eastAsia="宋体"/>
      </w:rPr>
    </w:lvl>
    <w:lvl w:ilvl="8" w:tentative="0">
      <w:start w:val="1"/>
      <w:numFmt w:val="decimal"/>
      <w:lvlText w:val="%1.%2.%3.%4.%5.%6.%7.%8.%9."/>
      <w:lvlJc w:val="left"/>
      <w:pPr>
        <w:tabs>
          <w:tab w:val="left" w:pos="1559"/>
        </w:tabs>
        <w:ind w:left="1559" w:hanging="1559"/>
      </w:pPr>
      <w:rPr>
        <w:rFonts w:hint="eastAsia" w:ascii="宋体" w:hAnsi="宋体" w:eastAsia="宋体"/>
      </w:rPr>
    </w:lvl>
  </w:abstractNum>
  <w:abstractNum w:abstractNumId="12">
    <w:nsid w:val="33C0261E"/>
    <w:multiLevelType w:val="singleLevel"/>
    <w:tmpl w:val="33C0261E"/>
    <w:lvl w:ilvl="0" w:tentative="0">
      <w:start w:val="2"/>
      <w:numFmt w:val="chineseCounting"/>
      <w:suff w:val="nothing"/>
      <w:lvlText w:val="（%1）"/>
      <w:lvlJc w:val="left"/>
      <w:rPr>
        <w:rFonts w:hint="eastAsia"/>
      </w:rPr>
    </w:lvl>
  </w:abstractNum>
  <w:abstractNum w:abstractNumId="13">
    <w:nsid w:val="398F5418"/>
    <w:multiLevelType w:val="multilevel"/>
    <w:tmpl w:val="398F5418"/>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4">
    <w:nsid w:val="3FAF5456"/>
    <w:multiLevelType w:val="multilevel"/>
    <w:tmpl w:val="3FAF5456"/>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5">
    <w:nsid w:val="43E90D8D"/>
    <w:multiLevelType w:val="multilevel"/>
    <w:tmpl w:val="43E90D8D"/>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6">
    <w:nsid w:val="468B77DA"/>
    <w:multiLevelType w:val="multilevel"/>
    <w:tmpl w:val="468B77DA"/>
    <w:lvl w:ilvl="0" w:tentative="0">
      <w:start w:val="1"/>
      <w:numFmt w:val="decimal"/>
      <w:lvlText w:val="%1."/>
      <w:lvlJc w:val="center"/>
      <w:pPr>
        <w:ind w:left="624" w:hanging="624"/>
      </w:pPr>
      <w:rPr>
        <w:rFonts w:hint="eastAsia" w:ascii="宋体" w:hAnsi="宋体" w:eastAsia="宋体"/>
        <w:b w:val="0"/>
        <w:bCs w:val="0"/>
        <w:sz w:val="21"/>
        <w:szCs w:val="21"/>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7">
    <w:nsid w:val="4AB00004"/>
    <w:multiLevelType w:val="multilevel"/>
    <w:tmpl w:val="4AB00004"/>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8">
    <w:nsid w:val="4EEE392E"/>
    <w:multiLevelType w:val="multilevel"/>
    <w:tmpl w:val="4EEE392E"/>
    <w:lvl w:ilvl="0" w:tentative="0">
      <w:start w:val="1"/>
      <w:numFmt w:val="decimal"/>
      <w:lvlText w:val="%1."/>
      <w:lvlJc w:val="left"/>
      <w:pPr>
        <w:tabs>
          <w:tab w:val="left" w:pos="780"/>
        </w:tabs>
        <w:ind w:left="78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9">
    <w:nsid w:val="534B3D6C"/>
    <w:multiLevelType w:val="multilevel"/>
    <w:tmpl w:val="534B3D6C"/>
    <w:lvl w:ilvl="0" w:tentative="0">
      <w:start w:val="1"/>
      <w:numFmt w:val="decimal"/>
      <w:lvlText w:val="%1."/>
      <w:lvlJc w:val="left"/>
      <w:pPr>
        <w:ind w:left="420" w:hanging="420"/>
      </w:pPr>
      <w:rPr>
        <w:rFonts w:hint="default" w:ascii="Times New Roman" w:hAnsi="Times New Roman" w:cs="Times New Roman"/>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0">
    <w:nsid w:val="5475652E"/>
    <w:multiLevelType w:val="multilevel"/>
    <w:tmpl w:val="5475652E"/>
    <w:lvl w:ilvl="0" w:tentative="0">
      <w:start w:val="1"/>
      <w:numFmt w:val="chineseCountingThousand"/>
      <w:lvlText w:val="%1、"/>
      <w:lvlJc w:val="left"/>
      <w:pPr>
        <w:tabs>
          <w:tab w:val="left" w:pos="420"/>
        </w:tabs>
        <w:ind w:left="420" w:hanging="420"/>
      </w:pPr>
      <w:rPr>
        <w:rFonts w:hint="eastAsia" w:ascii="宋体" w:hAnsi="宋体" w:eastAsia="宋体"/>
      </w:rPr>
    </w:lvl>
    <w:lvl w:ilvl="1" w:tentative="0">
      <w:start w:val="1"/>
      <w:numFmt w:val="decimal"/>
      <w:lvlText w:val="%2."/>
      <w:lvlJc w:val="left"/>
      <w:pPr>
        <w:tabs>
          <w:tab w:val="left" w:pos="840"/>
        </w:tabs>
        <w:ind w:left="840" w:hanging="420"/>
      </w:pPr>
      <w:rPr>
        <w:rFonts w:hint="eastAsia" w:ascii="宋体" w:hAnsi="宋体" w:eastAsia="宋体"/>
        <w:b w:val="0"/>
        <w:bCs w:val="0"/>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1">
    <w:nsid w:val="574F413F"/>
    <w:multiLevelType w:val="multilevel"/>
    <w:tmpl w:val="574F413F"/>
    <w:lvl w:ilvl="0" w:tentative="0">
      <w:start w:val="1"/>
      <w:numFmt w:val="decimal"/>
      <w:lvlText w:val="%1."/>
      <w:lvlJc w:val="left"/>
      <w:pPr>
        <w:ind w:left="425" w:hanging="425"/>
      </w:pPr>
      <w:rPr>
        <w:rFonts w:hint="eastAsia" w:ascii="宋体" w:hAnsi="宋体" w:eastAsia="宋体"/>
        <w:b w:val="0"/>
        <w:bCs w:val="0"/>
        <w:sz w:val="21"/>
        <w:szCs w:val="21"/>
      </w:rPr>
    </w:lvl>
    <w:lvl w:ilvl="1" w:tentative="0">
      <w:start w:val="1"/>
      <w:numFmt w:val="decimal"/>
      <w:lvlText w:val="%1.%2."/>
      <w:lvlJc w:val="left"/>
      <w:pPr>
        <w:ind w:left="567" w:hanging="567"/>
      </w:pPr>
      <w:rPr>
        <w:rFonts w:hint="eastAsia" w:ascii="宋体" w:hAnsi="宋体" w:eastAsia="宋体"/>
        <w:sz w:val="21"/>
        <w:szCs w:val="21"/>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1" w:hanging="851"/>
      </w:pPr>
      <w:rPr>
        <w:rFonts w:hint="default" w:ascii="Times New Roman" w:hAnsi="Times New Roman" w:cs="Times New Roman"/>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6" w:hanging="1276"/>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9" w:hanging="1559"/>
      </w:pPr>
      <w:rPr>
        <w:rFonts w:hint="default" w:ascii="Times New Roman" w:hAnsi="Times New Roman" w:cs="Times New Roman"/>
      </w:rPr>
    </w:lvl>
  </w:abstractNum>
  <w:abstractNum w:abstractNumId="22">
    <w:nsid w:val="634529FA"/>
    <w:multiLevelType w:val="multilevel"/>
    <w:tmpl w:val="634529FA"/>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3">
    <w:nsid w:val="71355ED4"/>
    <w:multiLevelType w:val="multilevel"/>
    <w:tmpl w:val="71355ED4"/>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4">
    <w:nsid w:val="77177E91"/>
    <w:multiLevelType w:val="multilevel"/>
    <w:tmpl w:val="77177E91"/>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trackRevisions w:val="1"/>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12A"/>
    <w:rsid w:val="000E0507"/>
    <w:rsid w:val="00174AE8"/>
    <w:rsid w:val="001D5CBD"/>
    <w:rsid w:val="001E3B98"/>
    <w:rsid w:val="0021476C"/>
    <w:rsid w:val="002236DE"/>
    <w:rsid w:val="003574FC"/>
    <w:rsid w:val="004469A8"/>
    <w:rsid w:val="004E35DC"/>
    <w:rsid w:val="005915D0"/>
    <w:rsid w:val="00636F9A"/>
    <w:rsid w:val="00666A94"/>
    <w:rsid w:val="006A10D7"/>
    <w:rsid w:val="006E4ECC"/>
    <w:rsid w:val="00793D1C"/>
    <w:rsid w:val="007943EE"/>
    <w:rsid w:val="007A03D6"/>
    <w:rsid w:val="007C5F2D"/>
    <w:rsid w:val="007F2564"/>
    <w:rsid w:val="009160D9"/>
    <w:rsid w:val="00956FA3"/>
    <w:rsid w:val="00960AD6"/>
    <w:rsid w:val="00963A62"/>
    <w:rsid w:val="009A74CB"/>
    <w:rsid w:val="00AF0FCD"/>
    <w:rsid w:val="00BA513A"/>
    <w:rsid w:val="00BD6E79"/>
    <w:rsid w:val="00C1756A"/>
    <w:rsid w:val="00C908D7"/>
    <w:rsid w:val="00CB2CFB"/>
    <w:rsid w:val="00D80C22"/>
    <w:rsid w:val="00D81E3D"/>
    <w:rsid w:val="00DD7F92"/>
    <w:rsid w:val="00DF70DE"/>
    <w:rsid w:val="00FF6513"/>
    <w:rsid w:val="0A7E7C2B"/>
    <w:rsid w:val="0B872EC5"/>
    <w:rsid w:val="0B971202"/>
    <w:rsid w:val="0C714AFB"/>
    <w:rsid w:val="13B014BF"/>
    <w:rsid w:val="18901846"/>
    <w:rsid w:val="18EC146D"/>
    <w:rsid w:val="1B2709A4"/>
    <w:rsid w:val="1DA07F82"/>
    <w:rsid w:val="1DCA436A"/>
    <w:rsid w:val="1FB173B4"/>
    <w:rsid w:val="220C383D"/>
    <w:rsid w:val="263976FF"/>
    <w:rsid w:val="2ED65C98"/>
    <w:rsid w:val="2EF6680F"/>
    <w:rsid w:val="32E86DA9"/>
    <w:rsid w:val="334B2E4F"/>
    <w:rsid w:val="346E09D1"/>
    <w:rsid w:val="3B237426"/>
    <w:rsid w:val="3D470E32"/>
    <w:rsid w:val="3E087CDA"/>
    <w:rsid w:val="3ED9166B"/>
    <w:rsid w:val="40885688"/>
    <w:rsid w:val="442E5851"/>
    <w:rsid w:val="47A96E59"/>
    <w:rsid w:val="4899665D"/>
    <w:rsid w:val="49B24C48"/>
    <w:rsid w:val="49C56358"/>
    <w:rsid w:val="4C2118DF"/>
    <w:rsid w:val="4CE86C6F"/>
    <w:rsid w:val="4FF36E66"/>
    <w:rsid w:val="51BF39D3"/>
    <w:rsid w:val="522308A0"/>
    <w:rsid w:val="541B746F"/>
    <w:rsid w:val="557A759F"/>
    <w:rsid w:val="56F240BA"/>
    <w:rsid w:val="57904097"/>
    <w:rsid w:val="5AB06C60"/>
    <w:rsid w:val="65E8264D"/>
    <w:rsid w:val="69AD3D46"/>
    <w:rsid w:val="6A5862E3"/>
    <w:rsid w:val="6AA95015"/>
    <w:rsid w:val="6ED25EBF"/>
    <w:rsid w:val="73A178D1"/>
    <w:rsid w:val="78316669"/>
    <w:rsid w:val="7BF44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annotation text"/>
    <w:basedOn w:val="1"/>
    <w:link w:val="26"/>
    <w:semiHidden/>
    <w:unhideWhenUsed/>
    <w:qFormat/>
    <w:uiPriority w:val="99"/>
    <w:pPr>
      <w:jc w:val="left"/>
    </w:pPr>
  </w:style>
  <w:style w:type="paragraph" w:styleId="4">
    <w:name w:val="Balloon Text"/>
    <w:basedOn w:val="1"/>
    <w:link w:val="14"/>
    <w:unhideWhenUsed/>
    <w:qFormat/>
    <w:uiPriority w:val="99"/>
    <w:rPr>
      <w:rFonts w:ascii="宋体"/>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7"/>
    <w:semiHidden/>
    <w:unhideWhenUsed/>
    <w:qFormat/>
    <w:uiPriority w:val="99"/>
    <w:rPr>
      <w:b/>
      <w:bCs/>
    </w:rPr>
  </w:style>
  <w:style w:type="table" w:styleId="9">
    <w:name w:val="Table Grid"/>
    <w:basedOn w:val="8"/>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页脚 字符"/>
    <w:link w:val="5"/>
    <w:qFormat/>
    <w:uiPriority w:val="99"/>
    <w:rPr>
      <w:sz w:val="18"/>
      <w:szCs w:val="18"/>
    </w:rPr>
  </w:style>
  <w:style w:type="character" w:customStyle="1" w:styleId="14">
    <w:name w:val="批注框文本 字符"/>
    <w:link w:val="4"/>
    <w:semiHidden/>
    <w:qFormat/>
    <w:uiPriority w:val="99"/>
    <w:rPr>
      <w:rFonts w:ascii="宋体"/>
      <w:kern w:val="2"/>
      <w:sz w:val="18"/>
      <w:szCs w:val="18"/>
    </w:rPr>
  </w:style>
  <w:style w:type="character" w:customStyle="1" w:styleId="15">
    <w:name w:val="15"/>
    <w:qFormat/>
    <w:uiPriority w:val="0"/>
    <w:rPr>
      <w:rFonts w:hint="default" w:ascii="Calibri" w:hAnsi="Calibri" w:eastAsia="宋体" w:cs="Calibri"/>
      <w:color w:val="0000FF"/>
      <w:sz w:val="28"/>
      <w:szCs w:val="28"/>
      <w:u w:val="single"/>
    </w:rPr>
  </w:style>
  <w:style w:type="character" w:customStyle="1" w:styleId="16">
    <w:name w:val="页眉 字符"/>
    <w:link w:val="6"/>
    <w:qFormat/>
    <w:uiPriority w:val="99"/>
    <w:rPr>
      <w:sz w:val="18"/>
      <w:szCs w:val="18"/>
    </w:rPr>
  </w:style>
  <w:style w:type="character" w:customStyle="1" w:styleId="17">
    <w:name w:val="font11"/>
    <w:qFormat/>
    <w:uiPriority w:val="0"/>
    <w:rPr>
      <w:rFonts w:hint="default" w:ascii="Arial" w:hAnsi="Arial" w:cs="Arial"/>
      <w:color w:val="000000"/>
      <w:sz w:val="20"/>
      <w:szCs w:val="20"/>
      <w:u w:val="none"/>
    </w:rPr>
  </w:style>
  <w:style w:type="character" w:customStyle="1" w:styleId="18">
    <w:name w:val="font21"/>
    <w:qFormat/>
    <w:uiPriority w:val="0"/>
    <w:rPr>
      <w:rFonts w:hint="eastAsia" w:ascii="宋体" w:hAnsi="宋体" w:eastAsia="宋体" w:cs="宋体"/>
      <w:color w:val="000000"/>
      <w:sz w:val="20"/>
      <w:szCs w:val="20"/>
      <w:u w:val="none"/>
    </w:rPr>
  </w:style>
  <w:style w:type="paragraph" w:customStyle="1" w:styleId="19">
    <w:name w:val="style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
    <w:name w:val="列出段落1"/>
    <w:basedOn w:val="1"/>
    <w:qFormat/>
    <w:uiPriority w:val="0"/>
    <w:pPr>
      <w:ind w:firstLine="420" w:firstLineChars="200"/>
    </w:pPr>
    <w:rPr>
      <w:szCs w:val="21"/>
    </w:rPr>
  </w:style>
  <w:style w:type="paragraph" w:customStyle="1" w:styleId="21">
    <w:name w:val="修订1"/>
    <w:qFormat/>
    <w:uiPriority w:val="71"/>
    <w:rPr>
      <w:rFonts w:ascii="Times New Roman" w:hAnsi="Times New Roman" w:eastAsia="宋体" w:cs="Times New Roman"/>
      <w:kern w:val="2"/>
      <w:sz w:val="21"/>
      <w:szCs w:val="22"/>
      <w:lang w:val="en-US" w:eastAsia="zh-CN" w:bidi="ar-SA"/>
    </w:rPr>
  </w:style>
  <w:style w:type="paragraph" w:styleId="22">
    <w:name w:val="List Paragraph"/>
    <w:basedOn w:val="1"/>
    <w:qFormat/>
    <w:uiPriority w:val="34"/>
    <w:pPr>
      <w:ind w:firstLine="420" w:firstLineChars="200"/>
    </w:pPr>
  </w:style>
  <w:style w:type="table" w:customStyle="1" w:styleId="23">
    <w:name w:val="Table Normal"/>
    <w:qFormat/>
    <w:uiPriority w:val="0"/>
    <w:rPr>
      <w:rFonts w:eastAsia="Times New Roman"/>
    </w:rPr>
    <w:tblPr>
      <w:tblLayout w:type="fixed"/>
      <w:tblCellMar>
        <w:top w:w="0" w:type="dxa"/>
        <w:left w:w="0" w:type="dxa"/>
        <w:bottom w:w="0" w:type="dxa"/>
        <w:right w:w="0" w:type="dxa"/>
      </w:tblCellMar>
    </w:tblPr>
  </w:style>
  <w:style w:type="paragraph" w:customStyle="1" w:styleId="24">
    <w:name w:val="正文首行缩进（绿盟科技）"/>
    <w:basedOn w:val="1"/>
    <w:qFormat/>
    <w:uiPriority w:val="0"/>
    <w:pPr>
      <w:widowControl/>
      <w:spacing w:after="50" w:line="300" w:lineRule="auto"/>
      <w:ind w:firstLine="200" w:firstLineChars="200"/>
      <w:jc w:val="left"/>
    </w:pPr>
    <w:rPr>
      <w:rFonts w:ascii="Arial" w:hAnsi="Arial"/>
      <w:kern w:val="0"/>
      <w:sz w:val="20"/>
      <w:szCs w:val="21"/>
    </w:rPr>
  </w:style>
  <w:style w:type="paragraph" w:customStyle="1" w:styleId="25">
    <w:name w:val="样式 正文缩进 + 首行缩进:  2 字符"/>
    <w:basedOn w:val="2"/>
    <w:qFormat/>
    <w:uiPriority w:val="0"/>
    <w:pPr>
      <w:spacing w:line="360" w:lineRule="auto"/>
      <w:ind w:firstLine="200"/>
    </w:pPr>
    <w:rPr>
      <w:rFonts w:cs="宋体"/>
      <w:kern w:val="0"/>
      <w:sz w:val="24"/>
      <w:szCs w:val="20"/>
    </w:rPr>
  </w:style>
  <w:style w:type="character" w:customStyle="1" w:styleId="26">
    <w:name w:val="批注文字 字符"/>
    <w:basedOn w:val="10"/>
    <w:link w:val="3"/>
    <w:semiHidden/>
    <w:qFormat/>
    <w:uiPriority w:val="99"/>
    <w:rPr>
      <w:kern w:val="2"/>
      <w:sz w:val="21"/>
      <w:szCs w:val="22"/>
    </w:rPr>
  </w:style>
  <w:style w:type="character" w:customStyle="1" w:styleId="27">
    <w:name w:val="批注主题 字符"/>
    <w:basedOn w:val="26"/>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file:///C:\Users\WHY\AppData\Local\Temp\ksohtml\wpsBD41.tmp.png" TargetMode="External"/><Relationship Id="rId6" Type="http://schemas.openxmlformats.org/officeDocument/2006/relationships/image" Target="media/image2.png"/><Relationship Id="rId5" Type="http://schemas.openxmlformats.org/officeDocument/2006/relationships/image" Target="file:///C:\Users\WHY\AppData\Local\Temp\ksohtml\wpsBD40.tmp.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5C024-2B10-45BB-A901-BE1F2AB536D6}">
  <ds:schemaRefs/>
</ds:datastoreItem>
</file>

<file path=docProps/app.xml><?xml version="1.0" encoding="utf-8"?>
<Properties xmlns="http://schemas.openxmlformats.org/officeDocument/2006/extended-properties" xmlns:vt="http://schemas.openxmlformats.org/officeDocument/2006/docPropsVTypes">
  <Template>Normal</Template>
  <Pages>1</Pages>
  <Words>3219</Words>
  <Characters>18350</Characters>
  <Lines>152</Lines>
  <Paragraphs>43</Paragraphs>
  <TotalTime>18</TotalTime>
  <ScaleCrop>false</ScaleCrop>
  <LinksUpToDate>false</LinksUpToDate>
  <CharactersWithSpaces>21526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2018-11-05T03:11:00Z</dcterms:created>
  <dc:creator>WHY</dc:creator>
  <cp:lastModifiedBy>王华运</cp:lastModifiedBy>
  <cp:lastPrinted>2019-09-02T07:26:14Z</cp:lastPrinted>
  <dcterms:modified xsi:type="dcterms:W3CDTF">2019-09-02T07:26:20Z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