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方正小标宋简体" w:eastAsia="方正小标宋简体"/>
          <w:bCs/>
          <w:sz w:val="24"/>
        </w:rPr>
      </w:pPr>
      <w:r>
        <w:rPr>
          <w:rFonts w:hint="eastAsia" w:ascii="方正小标宋简体" w:eastAsia="方正小标宋简体"/>
          <w:bCs/>
          <w:sz w:val="24"/>
        </w:rPr>
        <w:t>项目编号：</w:t>
      </w:r>
      <w:r>
        <w:rPr>
          <w:rFonts w:hint="eastAsia" w:ascii="方正小标宋简体" w:eastAsia="方正小标宋简体"/>
          <w:sz w:val="24"/>
        </w:rPr>
        <w:t>GJSH-202</w:t>
      </w:r>
      <w:r>
        <w:rPr>
          <w:rFonts w:hint="eastAsia" w:ascii="方正小标宋简体" w:eastAsia="方正小标宋简体"/>
          <w:sz w:val="24"/>
          <w:lang w:val="en-US" w:eastAsia="zh-CN"/>
        </w:rPr>
        <w:t>4</w:t>
      </w:r>
      <w:r>
        <w:rPr>
          <w:rFonts w:hint="eastAsia" w:ascii="方正小标宋简体" w:eastAsia="方正小标宋简体"/>
          <w:sz w:val="24"/>
        </w:rPr>
        <w:t>001</w:t>
      </w: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rFonts w:ascii="方正小标宋简体" w:eastAsia="方正小标宋简体"/>
          <w:sz w:val="96"/>
        </w:rPr>
      </w:pPr>
      <w:r>
        <w:rPr>
          <w:rFonts w:hint="eastAsia" w:ascii="方正小标宋简体" w:eastAsia="方正小标宋简体"/>
          <w:bCs/>
          <w:sz w:val="96"/>
        </w:rPr>
        <w:t>竞选采购邀请文件</w:t>
      </w:r>
    </w:p>
    <w:p>
      <w:pPr>
        <w:spacing w:line="360" w:lineRule="auto"/>
        <w:jc w:val="center"/>
        <w:rPr>
          <w:b/>
          <w:bCs/>
          <w:sz w:val="44"/>
        </w:rPr>
      </w:pPr>
    </w:p>
    <w:p>
      <w:pPr>
        <w:spacing w:line="360" w:lineRule="auto"/>
        <w:jc w:val="center"/>
        <w:rPr>
          <w:b/>
          <w:bCs/>
          <w:sz w:val="44"/>
        </w:rPr>
      </w:pPr>
    </w:p>
    <w:p>
      <w:pPr>
        <w:spacing w:line="360" w:lineRule="auto"/>
        <w:rPr>
          <w:b/>
          <w:bCs/>
          <w:sz w:val="44"/>
        </w:rPr>
      </w:pPr>
    </w:p>
    <w:p>
      <w:pPr>
        <w:spacing w:line="360" w:lineRule="auto"/>
        <w:ind w:left="279" w:leftChars="133" w:right="735" w:rightChars="350"/>
        <w:jc w:val="center"/>
        <w:rPr>
          <w:rFonts w:ascii="方正小标宋简体" w:hAnsi="宋体" w:eastAsia="方正小标宋简体"/>
          <w:bCs/>
          <w:sz w:val="32"/>
          <w:szCs w:val="32"/>
          <w:u w:val="single"/>
        </w:rPr>
      </w:pPr>
      <w:r>
        <w:rPr>
          <w:rFonts w:hint="eastAsia" w:ascii="方正小标宋简体" w:eastAsia="方正小标宋简体"/>
          <w:sz w:val="36"/>
          <w:szCs w:val="36"/>
        </w:rPr>
        <w:t>项目名称：</w:t>
      </w:r>
      <w:r>
        <w:rPr>
          <w:rFonts w:hint="eastAsia" w:ascii="方正小标宋简体" w:eastAsia="方正小标宋简体"/>
          <w:sz w:val="36"/>
          <w:szCs w:val="36"/>
          <w:u w:val="single"/>
        </w:rPr>
        <w:t>广检检测技术（上海）有限公司202</w:t>
      </w:r>
      <w:r>
        <w:rPr>
          <w:rFonts w:hint="eastAsia" w:ascii="方正小标宋简体" w:eastAsia="方正小标宋简体"/>
          <w:sz w:val="36"/>
          <w:szCs w:val="36"/>
          <w:u w:val="single"/>
          <w:lang w:val="en-US" w:eastAsia="zh-CN"/>
        </w:rPr>
        <w:t>4</w:t>
      </w:r>
      <w:r>
        <w:rPr>
          <w:rFonts w:hint="eastAsia" w:ascii="方正小标宋简体" w:eastAsia="方正小标宋简体"/>
          <w:sz w:val="36"/>
          <w:szCs w:val="36"/>
          <w:u w:val="single"/>
        </w:rPr>
        <w:t>年  第一批竞选采购工作餐配送项目</w:t>
      </w:r>
    </w:p>
    <w:p>
      <w:pPr>
        <w:spacing w:line="360" w:lineRule="auto"/>
        <w:rPr>
          <w:rFonts w:ascii="方正小标宋简体" w:hAnsi="宋体" w:eastAsia="方正小标宋简体"/>
          <w:bCs/>
          <w:sz w:val="32"/>
          <w:szCs w:val="32"/>
        </w:rPr>
      </w:pPr>
    </w:p>
    <w:p>
      <w:pPr>
        <w:spacing w:line="360" w:lineRule="auto"/>
        <w:rPr>
          <w:rFonts w:ascii="方正小标宋简体" w:hAnsi="宋体" w:eastAsia="方正小标宋简体"/>
          <w:bCs/>
          <w:sz w:val="32"/>
          <w:szCs w:val="32"/>
        </w:rPr>
      </w:pPr>
    </w:p>
    <w:p>
      <w:pPr>
        <w:spacing w:line="360" w:lineRule="auto"/>
        <w:rPr>
          <w:rFonts w:ascii="方正小标宋简体" w:hAnsi="宋体" w:eastAsia="方正小标宋简体"/>
          <w:bCs/>
          <w:sz w:val="32"/>
          <w:szCs w:val="32"/>
        </w:rPr>
      </w:pPr>
    </w:p>
    <w:p>
      <w:pPr>
        <w:spacing w:line="360" w:lineRule="auto"/>
        <w:rPr>
          <w:rFonts w:ascii="方正小标宋简体" w:hAnsi="宋体" w:eastAsia="方正小标宋简体"/>
          <w:bCs/>
          <w:sz w:val="32"/>
          <w:szCs w:val="32"/>
        </w:rPr>
      </w:pPr>
    </w:p>
    <w:p>
      <w:pPr>
        <w:spacing w:line="360" w:lineRule="auto"/>
        <w:rPr>
          <w:rFonts w:ascii="方正小标宋简体" w:hAnsi="宋体" w:eastAsia="方正小标宋简体"/>
          <w:bCs/>
          <w:sz w:val="32"/>
          <w:szCs w:val="32"/>
        </w:rPr>
      </w:pPr>
    </w:p>
    <w:p>
      <w:pPr>
        <w:spacing w:line="360" w:lineRule="auto"/>
        <w:jc w:val="center"/>
        <w:rPr>
          <w:rFonts w:ascii="思源黑体 CN Medium" w:hAnsi="思源黑体 CN Medium" w:eastAsia="思源黑体 CN Medium"/>
          <w:sz w:val="36"/>
          <w:szCs w:val="32"/>
        </w:rPr>
      </w:pPr>
      <w:r>
        <w:rPr>
          <w:rFonts w:hint="eastAsia" w:ascii="思源黑体 CN Medium" w:hAnsi="思源黑体 CN Medium" w:eastAsia="思源黑体 CN Medium"/>
          <w:bCs/>
          <w:sz w:val="36"/>
          <w:szCs w:val="32"/>
        </w:rPr>
        <w:t>广检检测技术（上海）有限公司</w:t>
      </w:r>
    </w:p>
    <w:p>
      <w:pPr>
        <w:spacing w:line="360" w:lineRule="auto"/>
        <w:jc w:val="center"/>
        <w:rPr>
          <w:rFonts w:ascii="思源黑体 CN Medium" w:hAnsi="思源黑体 CN Medium" w:eastAsia="思源黑体 CN Medium"/>
          <w:bCs/>
          <w:sz w:val="36"/>
          <w:szCs w:val="32"/>
        </w:rPr>
      </w:pPr>
      <w:r>
        <w:rPr>
          <w:rFonts w:hint="eastAsia" w:ascii="思源黑体 CN Medium" w:hAnsi="思源黑体 CN Medium" w:eastAsia="思源黑体 CN Medium"/>
          <w:bCs/>
          <w:sz w:val="36"/>
          <w:szCs w:val="32"/>
        </w:rPr>
        <w:t>202</w:t>
      </w:r>
      <w:r>
        <w:rPr>
          <w:rFonts w:hint="eastAsia" w:ascii="思源黑体 CN Medium" w:hAnsi="思源黑体 CN Medium" w:eastAsia="思源黑体 CN Medium"/>
          <w:bCs/>
          <w:sz w:val="36"/>
          <w:szCs w:val="32"/>
          <w:lang w:val="en-US" w:eastAsia="zh-CN"/>
        </w:rPr>
        <w:t>4</w:t>
      </w:r>
      <w:r>
        <w:rPr>
          <w:rFonts w:hint="eastAsia" w:ascii="思源黑体 CN Medium" w:hAnsi="思源黑体 CN Medium" w:eastAsia="思源黑体 CN Medium"/>
          <w:bCs/>
          <w:sz w:val="36"/>
          <w:szCs w:val="32"/>
        </w:rPr>
        <w:t>年1月</w:t>
      </w:r>
    </w:p>
    <w:p>
      <w:pPr>
        <w:spacing w:line="360" w:lineRule="auto"/>
        <w:jc w:val="center"/>
        <w:rPr>
          <w:rFonts w:ascii="思源黑体 CN Medium" w:hAnsi="思源黑体 CN Medium" w:eastAsia="思源黑体 CN Medium"/>
          <w:bCs/>
          <w:sz w:val="36"/>
          <w:szCs w:val="32"/>
        </w:rPr>
        <w:sectPr>
          <w:type w:val="continuous"/>
          <w:pgSz w:w="11907" w:h="16840"/>
          <w:pgMar w:top="1418" w:right="1418" w:bottom="1418" w:left="1418" w:header="794" w:footer="794" w:gutter="0"/>
          <w:cols w:space="720" w:num="1"/>
          <w:titlePg/>
          <w:docGrid w:linePitch="286" w:charSpace="0"/>
        </w:sectPr>
      </w:pPr>
    </w:p>
    <w:p>
      <w:pPr>
        <w:pStyle w:val="118"/>
        <w:jc w:val="center"/>
        <w:rPr>
          <w:rFonts w:ascii="黑体" w:hAnsi="黑体" w:eastAsia="黑体" w:cs="黑体"/>
          <w:color w:val="auto"/>
          <w:lang w:val="zh-CN"/>
        </w:rPr>
      </w:pPr>
      <w:bookmarkStart w:id="0" w:name="_Toc533236372"/>
      <w:r>
        <w:rPr>
          <w:rFonts w:hint="eastAsia" w:ascii="黑体" w:hAnsi="黑体" w:eastAsia="黑体" w:cs="黑体"/>
          <w:color w:val="auto"/>
          <w:lang w:val="zh-CN"/>
        </w:rPr>
        <w:t>目</w:t>
      </w:r>
      <w:r>
        <w:rPr>
          <w:rFonts w:hint="eastAsia" w:ascii="黑体" w:hAnsi="黑体" w:eastAsia="黑体" w:cs="黑体"/>
          <w:color w:val="auto"/>
        </w:rPr>
        <w:t xml:space="preserve">    </w:t>
      </w:r>
      <w:r>
        <w:rPr>
          <w:rFonts w:hint="eastAsia" w:ascii="黑体" w:hAnsi="黑体" w:eastAsia="黑体" w:cs="黑体"/>
          <w:color w:val="auto"/>
          <w:lang w:val="zh-CN"/>
        </w:rPr>
        <w:t>录</w:t>
      </w:r>
    </w:p>
    <w:p>
      <w:pPr>
        <w:rPr>
          <w:lang w:val="zh-CN"/>
        </w:rPr>
      </w:pPr>
    </w:p>
    <w:p>
      <w:pPr>
        <w:pStyle w:val="29"/>
        <w:rPr>
          <w:rFonts w:ascii="Calibri" w:hAnsi="Calibri"/>
          <w:b w:val="0"/>
          <w:bCs w:val="0"/>
          <w:caps w:val="0"/>
          <w:szCs w:val="22"/>
        </w:rPr>
      </w:pPr>
      <w:r>
        <w:fldChar w:fldCharType="begin"/>
      </w:r>
      <w:r>
        <w:instrText xml:space="preserve"> TOC \o "1-3" \h \z \u </w:instrText>
      </w:r>
      <w:r>
        <w:fldChar w:fldCharType="separate"/>
      </w:r>
      <w:r>
        <w:fldChar w:fldCharType="begin"/>
      </w:r>
      <w:r>
        <w:instrText xml:space="preserve"> HYPERLINK \l "_Toc35617558" </w:instrText>
      </w:r>
      <w:r>
        <w:fldChar w:fldCharType="separate"/>
      </w:r>
      <w:r>
        <w:rPr>
          <w:rStyle w:val="41"/>
          <w:rFonts w:ascii="方正小标宋简体" w:hAnsi="宋体" w:eastAsia="方正小标宋简体" w:cs="Tahoma"/>
          <w:spacing w:val="20"/>
        </w:rPr>
        <w:t>第一章 竞选邀请书</w:t>
      </w:r>
      <w:r>
        <w:tab/>
      </w:r>
      <w:r>
        <w:fldChar w:fldCharType="begin"/>
      </w:r>
      <w:r>
        <w:instrText xml:space="preserve"> PAGEREF _Toc35617558 \h </w:instrText>
      </w:r>
      <w:r>
        <w:fldChar w:fldCharType="separate"/>
      </w:r>
      <w:r>
        <w:t>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"_Toc35617559" </w:instrText>
      </w:r>
      <w:r>
        <w:fldChar w:fldCharType="separate"/>
      </w:r>
      <w:r>
        <w:rPr>
          <w:rStyle w:val="41"/>
          <w:rFonts w:ascii="仿宋_GB2312" w:eastAsia="仿宋_GB2312" w:cs="Tahoma"/>
          <w:b/>
        </w:rPr>
        <w:t>1.</w:t>
      </w:r>
      <w:r>
        <w:rPr>
          <w:rStyle w:val="41"/>
          <w:rFonts w:ascii="仿宋_GB2312" w:eastAsia="仿宋_GB2312" w:cs="Arial"/>
          <w:b/>
        </w:rPr>
        <w:t>采购</w:t>
      </w:r>
      <w:r>
        <w:rPr>
          <w:rStyle w:val="41"/>
          <w:rFonts w:ascii="仿宋_GB2312" w:eastAsia="仿宋_GB2312" w:cs="Tahoma"/>
          <w:b/>
        </w:rPr>
        <w:t>项目简介</w:t>
      </w:r>
      <w:r>
        <w:tab/>
      </w:r>
      <w:r>
        <w:fldChar w:fldCharType="begin"/>
      </w:r>
      <w:r>
        <w:instrText xml:space="preserve"> PAGEREF _Toc35617559 \h </w:instrText>
      </w:r>
      <w:r>
        <w:fldChar w:fldCharType="separate"/>
      </w:r>
      <w:r>
        <w:t>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"_Toc35617560" </w:instrText>
      </w:r>
      <w:r>
        <w:fldChar w:fldCharType="separate"/>
      </w:r>
      <w:r>
        <w:rPr>
          <w:rStyle w:val="41"/>
          <w:rFonts w:ascii="仿宋_GB2312" w:eastAsia="仿宋_GB2312" w:cs="Tahoma"/>
          <w:b/>
        </w:rPr>
        <w:t>2.合格响应人资格要求</w:t>
      </w:r>
      <w:r>
        <w:tab/>
      </w:r>
      <w:r>
        <w:fldChar w:fldCharType="begin"/>
      </w:r>
      <w:r>
        <w:instrText xml:space="preserve"> PAGEREF _Toc35617560 \h </w:instrText>
      </w:r>
      <w:r>
        <w:fldChar w:fldCharType="separate"/>
      </w:r>
      <w:r>
        <w:t>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"_Toc35617561" </w:instrText>
      </w:r>
      <w:r>
        <w:fldChar w:fldCharType="separate"/>
      </w:r>
      <w:r>
        <w:rPr>
          <w:rStyle w:val="41"/>
          <w:rFonts w:ascii="仿宋_GB2312" w:eastAsia="仿宋_GB2312" w:cs="Tahoma"/>
          <w:b/>
        </w:rPr>
        <w:t>3.递交响应文件的时间及地点</w:t>
      </w:r>
      <w:r>
        <w:tab/>
      </w:r>
      <w:r>
        <w:fldChar w:fldCharType="begin"/>
      </w:r>
      <w:r>
        <w:instrText xml:space="preserve"> PAGEREF _Toc35617561 \h </w:instrText>
      </w:r>
      <w:r>
        <w:fldChar w:fldCharType="separate"/>
      </w:r>
      <w:r>
        <w:t>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"_Toc35617562" </w:instrText>
      </w:r>
      <w:r>
        <w:fldChar w:fldCharType="separate"/>
      </w:r>
      <w:r>
        <w:rPr>
          <w:rStyle w:val="41"/>
          <w:rFonts w:ascii="仿宋_GB2312" w:eastAsia="仿宋_GB2312" w:cs="Tahoma"/>
          <w:b/>
        </w:rPr>
        <w:t>4.评审时间及地点</w:t>
      </w:r>
      <w:r>
        <w:tab/>
      </w:r>
      <w:r>
        <w:fldChar w:fldCharType="begin"/>
      </w:r>
      <w:r>
        <w:instrText xml:space="preserve"> PAGEREF _Toc35617562 \h </w:instrText>
      </w:r>
      <w:r>
        <w:fldChar w:fldCharType="separate"/>
      </w:r>
      <w:r>
        <w:t>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"_Toc35617563" </w:instrText>
      </w:r>
      <w:r>
        <w:fldChar w:fldCharType="separate"/>
      </w:r>
      <w:r>
        <w:rPr>
          <w:rStyle w:val="41"/>
          <w:rFonts w:ascii="仿宋_GB2312" w:eastAsia="仿宋_GB2312" w:cs="Tahoma"/>
          <w:b/>
        </w:rPr>
        <w:t>5.采购人的名称、地址</w:t>
      </w:r>
      <w:r>
        <w:tab/>
      </w:r>
      <w:r>
        <w:fldChar w:fldCharType="begin"/>
      </w:r>
      <w:r>
        <w:instrText xml:space="preserve"> PAGEREF _Toc35617563 \h </w:instrText>
      </w:r>
      <w:r>
        <w:fldChar w:fldCharType="separate"/>
      </w:r>
      <w:r>
        <w:t>2</w:t>
      </w:r>
      <w:r>
        <w:fldChar w:fldCharType="end"/>
      </w:r>
      <w:r>
        <w:fldChar w:fldCharType="end"/>
      </w:r>
    </w:p>
    <w:p>
      <w:pPr>
        <w:pStyle w:val="21"/>
        <w:tabs>
          <w:tab w:val="right" w:leader="dot" w:pos="9061"/>
        </w:tabs>
        <w:rPr>
          <w:rFonts w:ascii="Calibri" w:hAnsi="Calibri"/>
          <w:i w:val="0"/>
          <w:iCs w:val="0"/>
          <w:szCs w:val="22"/>
        </w:rPr>
      </w:pPr>
      <w:r>
        <w:fldChar w:fldCharType="begin"/>
      </w:r>
      <w:r>
        <w:instrText xml:space="preserve"> HYPERLINK \l "_Toc35617564" </w:instrText>
      </w:r>
      <w:r>
        <w:fldChar w:fldCharType="separate"/>
      </w:r>
      <w:r>
        <w:rPr>
          <w:rStyle w:val="41"/>
          <w:rFonts w:ascii="仿宋_GB2312" w:eastAsia="仿宋_GB2312"/>
          <w:b/>
          <w:bCs/>
          <w:i w:val="0"/>
          <w:iCs w:val="0"/>
        </w:rPr>
        <w:t>1.总体说明</w:t>
      </w:r>
      <w:r>
        <w:rPr>
          <w:i w:val="0"/>
          <w:iCs w:val="0"/>
        </w:rPr>
        <w:tab/>
      </w:r>
      <w:r>
        <w:rPr>
          <w:i w:val="0"/>
          <w:iCs w:val="0"/>
        </w:rPr>
        <w:fldChar w:fldCharType="begin"/>
      </w:r>
      <w:r>
        <w:rPr>
          <w:i w:val="0"/>
          <w:iCs w:val="0"/>
        </w:rPr>
        <w:instrText xml:space="preserve"> PAGEREF _Toc35617564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"_Toc35617565" </w:instrText>
      </w:r>
      <w:r>
        <w:fldChar w:fldCharType="separate"/>
      </w:r>
      <w:r>
        <w:rPr>
          <w:rStyle w:val="41"/>
          <w:rFonts w:ascii="仿宋_GB2312" w:hAnsi="宋体" w:eastAsia="仿宋_GB2312"/>
          <w:b/>
          <w:bCs/>
          <w:i w:val="0"/>
          <w:iCs w:val="0"/>
        </w:rPr>
        <w:t>1.1 采购项目性质说明</w:t>
      </w:r>
      <w:r>
        <w:rPr>
          <w:i w:val="0"/>
          <w:iCs w:val="0"/>
        </w:rPr>
        <w:tab/>
      </w:r>
      <w:r>
        <w:rPr>
          <w:i w:val="0"/>
          <w:iCs w:val="0"/>
        </w:rPr>
        <w:fldChar w:fldCharType="begin"/>
      </w:r>
      <w:r>
        <w:rPr>
          <w:i w:val="0"/>
          <w:iCs w:val="0"/>
        </w:rPr>
        <w:instrText xml:space="preserve"> PAGEREF _Toc35617565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"_Toc35617566" </w:instrText>
      </w:r>
      <w:r>
        <w:fldChar w:fldCharType="separate"/>
      </w:r>
      <w:r>
        <w:rPr>
          <w:rStyle w:val="41"/>
          <w:rFonts w:ascii="仿宋_GB2312" w:hAnsi="宋体" w:eastAsia="仿宋_GB2312"/>
          <w:b/>
          <w:bCs/>
          <w:i w:val="0"/>
          <w:iCs w:val="0"/>
        </w:rPr>
        <w:t>1.2 关于响应报价</w:t>
      </w:r>
      <w:r>
        <w:rPr>
          <w:i w:val="0"/>
          <w:iCs w:val="0"/>
        </w:rPr>
        <w:tab/>
      </w:r>
      <w:r>
        <w:rPr>
          <w:i w:val="0"/>
          <w:iCs w:val="0"/>
        </w:rPr>
        <w:fldChar w:fldCharType="begin"/>
      </w:r>
      <w:r>
        <w:rPr>
          <w:i w:val="0"/>
          <w:iCs w:val="0"/>
        </w:rPr>
        <w:instrText xml:space="preserve"> PAGEREF _Toc35617566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"_Toc35617567" </w:instrText>
      </w:r>
      <w:r>
        <w:fldChar w:fldCharType="separate"/>
      </w:r>
      <w:r>
        <w:rPr>
          <w:rStyle w:val="41"/>
          <w:rFonts w:ascii="仿宋_GB2312" w:hAnsi="宋体" w:eastAsia="仿宋_GB2312"/>
          <w:b/>
          <w:bCs/>
          <w:i w:val="0"/>
          <w:iCs w:val="0"/>
        </w:rPr>
        <w:t>1.3 适用范围</w:t>
      </w:r>
      <w:r>
        <w:rPr>
          <w:i w:val="0"/>
          <w:iCs w:val="0"/>
        </w:rPr>
        <w:tab/>
      </w:r>
      <w:r>
        <w:rPr>
          <w:i w:val="0"/>
          <w:iCs w:val="0"/>
        </w:rPr>
        <w:fldChar w:fldCharType="begin"/>
      </w:r>
      <w:r>
        <w:rPr>
          <w:i w:val="0"/>
          <w:iCs w:val="0"/>
        </w:rPr>
        <w:instrText xml:space="preserve"> PAGEREF _Toc35617567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"_Toc35617568" </w:instrText>
      </w:r>
      <w:r>
        <w:fldChar w:fldCharType="separate"/>
      </w:r>
      <w:r>
        <w:rPr>
          <w:rStyle w:val="41"/>
          <w:rFonts w:ascii="仿宋_GB2312" w:hAnsi="宋体" w:eastAsia="仿宋_GB2312"/>
          <w:b/>
          <w:bCs/>
          <w:i w:val="0"/>
          <w:iCs w:val="0"/>
        </w:rPr>
        <w:t>1.4 评审方式</w:t>
      </w:r>
      <w:r>
        <w:rPr>
          <w:i w:val="0"/>
          <w:iCs w:val="0"/>
        </w:rPr>
        <w:tab/>
      </w:r>
      <w:r>
        <w:rPr>
          <w:i w:val="0"/>
          <w:iCs w:val="0"/>
        </w:rPr>
        <w:fldChar w:fldCharType="begin"/>
      </w:r>
      <w:r>
        <w:rPr>
          <w:i w:val="0"/>
          <w:iCs w:val="0"/>
        </w:rPr>
        <w:instrText xml:space="preserve"> PAGEREF _Toc35617568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"_Toc35617569" </w:instrText>
      </w:r>
      <w:r>
        <w:fldChar w:fldCharType="separate"/>
      </w:r>
      <w:r>
        <w:rPr>
          <w:rStyle w:val="41"/>
          <w:rFonts w:ascii="仿宋_GB2312" w:hAnsi="宋体" w:eastAsia="仿宋_GB2312"/>
          <w:b/>
          <w:bCs/>
          <w:i w:val="0"/>
          <w:iCs w:val="0"/>
        </w:rPr>
        <w:t>1.5 合格的响应人</w:t>
      </w:r>
      <w:r>
        <w:rPr>
          <w:i w:val="0"/>
          <w:iCs w:val="0"/>
        </w:rPr>
        <w:tab/>
      </w:r>
      <w:r>
        <w:rPr>
          <w:i w:val="0"/>
          <w:iCs w:val="0"/>
        </w:rPr>
        <w:fldChar w:fldCharType="begin"/>
      </w:r>
      <w:r>
        <w:rPr>
          <w:i w:val="0"/>
          <w:iCs w:val="0"/>
        </w:rPr>
        <w:instrText xml:space="preserve"> PAGEREF _Toc35617569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"_Toc35617570" </w:instrText>
      </w:r>
      <w:r>
        <w:fldChar w:fldCharType="separate"/>
      </w:r>
      <w:r>
        <w:rPr>
          <w:rStyle w:val="41"/>
          <w:rFonts w:ascii="仿宋_GB2312" w:hAnsi="宋体" w:eastAsia="仿宋_GB2312"/>
          <w:b/>
          <w:bCs/>
          <w:i w:val="0"/>
          <w:iCs w:val="0"/>
        </w:rPr>
        <w:t>1.6 关于响应费用</w:t>
      </w:r>
      <w:r>
        <w:rPr>
          <w:i w:val="0"/>
          <w:iCs w:val="0"/>
        </w:rPr>
        <w:tab/>
      </w:r>
      <w:r>
        <w:rPr>
          <w:i w:val="0"/>
          <w:iCs w:val="0"/>
        </w:rPr>
        <w:fldChar w:fldCharType="begin"/>
      </w:r>
      <w:r>
        <w:rPr>
          <w:i w:val="0"/>
          <w:iCs w:val="0"/>
        </w:rPr>
        <w:instrText xml:space="preserve"> PAGEREF _Toc35617570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"_Toc35617571" </w:instrText>
      </w:r>
      <w:r>
        <w:fldChar w:fldCharType="separate"/>
      </w:r>
      <w:r>
        <w:rPr>
          <w:rStyle w:val="41"/>
          <w:rFonts w:ascii="仿宋_GB2312" w:hAnsi="宋体" w:eastAsia="仿宋_GB2312"/>
          <w:b/>
          <w:bCs/>
          <w:i w:val="0"/>
          <w:iCs w:val="0"/>
        </w:rPr>
        <w:t>1.7 合格的送餐服务</w:t>
      </w:r>
      <w:r>
        <w:rPr>
          <w:i w:val="0"/>
          <w:iCs w:val="0"/>
        </w:rPr>
        <w:tab/>
      </w:r>
      <w:r>
        <w:rPr>
          <w:i w:val="0"/>
          <w:iCs w:val="0"/>
        </w:rPr>
        <w:fldChar w:fldCharType="begin"/>
      </w:r>
      <w:r>
        <w:rPr>
          <w:i w:val="0"/>
          <w:iCs w:val="0"/>
        </w:rPr>
        <w:instrText xml:space="preserve"> PAGEREF _Toc35617571 \h </w:instrText>
      </w:r>
      <w:r>
        <w:rPr>
          <w:i w:val="0"/>
          <w:iCs w:val="0"/>
        </w:rPr>
        <w:fldChar w:fldCharType="separate"/>
      </w:r>
      <w:r>
        <w:rPr>
          <w:i w:val="0"/>
          <w:iCs w:val="0"/>
        </w:rPr>
        <w:t>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"_Toc35617572" </w:instrText>
      </w:r>
      <w:r>
        <w:fldChar w:fldCharType="separate"/>
      </w:r>
      <w:r>
        <w:rPr>
          <w:rStyle w:val="41"/>
          <w:rFonts w:ascii="仿宋_GB2312" w:hAnsi="宋体" w:eastAsia="仿宋_GB2312"/>
          <w:b/>
          <w:bCs/>
          <w:i w:val="0"/>
          <w:iCs w:val="0"/>
        </w:rPr>
        <w:t>1.8 禁止事项</w:t>
      </w:r>
      <w:r>
        <w:rPr>
          <w:i w:val="0"/>
          <w:iCs w:val="0"/>
        </w:rPr>
        <w:tab/>
      </w:r>
      <w:r>
        <w:rPr>
          <w:i w:val="0"/>
          <w:iCs w:val="0"/>
        </w:rPr>
        <w:fldChar w:fldCharType="begin"/>
      </w:r>
      <w:r>
        <w:rPr>
          <w:i w:val="0"/>
          <w:iCs w:val="0"/>
        </w:rPr>
        <w:instrText xml:space="preserve"> PAGEREF _Toc35617572 \h </w:instrText>
      </w:r>
      <w:r>
        <w:rPr>
          <w:i w:val="0"/>
          <w:iCs w:val="0"/>
        </w:rPr>
        <w:fldChar w:fldCharType="separate"/>
      </w:r>
      <w:r>
        <w:rPr>
          <w:i w:val="0"/>
          <w:iCs w:val="0"/>
        </w:rPr>
        <w:t>4</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"_Toc35617573" </w:instrText>
      </w:r>
      <w:r>
        <w:fldChar w:fldCharType="separate"/>
      </w:r>
      <w:r>
        <w:rPr>
          <w:rStyle w:val="41"/>
          <w:rFonts w:ascii="仿宋_GB2312" w:hAnsi="宋体" w:eastAsia="仿宋_GB2312"/>
          <w:b/>
          <w:bCs/>
          <w:i w:val="0"/>
          <w:iCs w:val="0"/>
        </w:rPr>
        <w:t>1.9 保密事项</w:t>
      </w:r>
      <w:r>
        <w:rPr>
          <w:i w:val="0"/>
          <w:iCs w:val="0"/>
        </w:rPr>
        <w:tab/>
      </w:r>
      <w:r>
        <w:rPr>
          <w:i w:val="0"/>
          <w:iCs w:val="0"/>
        </w:rPr>
        <w:fldChar w:fldCharType="begin"/>
      </w:r>
      <w:r>
        <w:rPr>
          <w:i w:val="0"/>
          <w:iCs w:val="0"/>
        </w:rPr>
        <w:instrText xml:space="preserve"> PAGEREF _Toc35617573 \h </w:instrText>
      </w:r>
      <w:r>
        <w:rPr>
          <w:i w:val="0"/>
          <w:iCs w:val="0"/>
        </w:rPr>
        <w:fldChar w:fldCharType="separate"/>
      </w:r>
      <w:r>
        <w:rPr>
          <w:i w:val="0"/>
          <w:iCs w:val="0"/>
        </w:rPr>
        <w:t>4</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"_Toc35617574" </w:instrText>
      </w:r>
      <w:r>
        <w:fldChar w:fldCharType="separate"/>
      </w:r>
      <w:r>
        <w:rPr>
          <w:rStyle w:val="41"/>
          <w:rFonts w:ascii="仿宋_GB2312" w:eastAsia="仿宋_GB2312"/>
          <w:b/>
          <w:bCs/>
          <w:i w:val="0"/>
          <w:iCs w:val="0"/>
        </w:rPr>
        <w:t>2.采购文件</w:t>
      </w:r>
      <w:r>
        <w:rPr>
          <w:i w:val="0"/>
          <w:iCs w:val="0"/>
        </w:rPr>
        <w:tab/>
      </w:r>
      <w:r>
        <w:rPr>
          <w:i w:val="0"/>
          <w:iCs w:val="0"/>
        </w:rPr>
        <w:fldChar w:fldCharType="begin"/>
      </w:r>
      <w:r>
        <w:rPr>
          <w:i w:val="0"/>
          <w:iCs w:val="0"/>
        </w:rPr>
        <w:instrText xml:space="preserve"> PAGEREF _Toc35617574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"_Toc35617575" </w:instrText>
      </w:r>
      <w:r>
        <w:fldChar w:fldCharType="separate"/>
      </w:r>
      <w:r>
        <w:rPr>
          <w:rStyle w:val="41"/>
          <w:rFonts w:ascii="仿宋_GB2312" w:hAnsi="宋体" w:eastAsia="仿宋_GB2312"/>
          <w:b/>
          <w:bCs/>
          <w:i w:val="0"/>
          <w:iCs w:val="0"/>
        </w:rPr>
        <w:t>2.1 采购文件的组成</w:t>
      </w:r>
      <w:r>
        <w:rPr>
          <w:i w:val="0"/>
          <w:iCs w:val="0"/>
        </w:rPr>
        <w:tab/>
      </w:r>
      <w:r>
        <w:rPr>
          <w:i w:val="0"/>
          <w:iCs w:val="0"/>
        </w:rPr>
        <w:fldChar w:fldCharType="begin"/>
      </w:r>
      <w:r>
        <w:rPr>
          <w:i w:val="0"/>
          <w:iCs w:val="0"/>
        </w:rPr>
        <w:instrText xml:space="preserve"> PAGEREF _Toc35617575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"_Toc35617576" </w:instrText>
      </w:r>
      <w:r>
        <w:fldChar w:fldCharType="separate"/>
      </w:r>
      <w:r>
        <w:rPr>
          <w:rStyle w:val="41"/>
          <w:rFonts w:ascii="仿宋_GB2312" w:hAnsi="宋体" w:eastAsia="仿宋_GB2312"/>
          <w:b/>
          <w:bCs/>
          <w:i w:val="0"/>
          <w:iCs w:val="0"/>
        </w:rPr>
        <w:t>2.2 采购文件的补充和修改</w:t>
      </w:r>
      <w:r>
        <w:rPr>
          <w:i w:val="0"/>
          <w:iCs w:val="0"/>
        </w:rPr>
        <w:tab/>
      </w:r>
      <w:r>
        <w:rPr>
          <w:i w:val="0"/>
          <w:iCs w:val="0"/>
        </w:rPr>
        <w:fldChar w:fldCharType="begin"/>
      </w:r>
      <w:r>
        <w:rPr>
          <w:i w:val="0"/>
          <w:iCs w:val="0"/>
        </w:rPr>
        <w:instrText xml:space="preserve"> PAGEREF _Toc35617576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"_Toc35617577" </w:instrText>
      </w:r>
      <w:r>
        <w:fldChar w:fldCharType="separate"/>
      </w:r>
      <w:r>
        <w:rPr>
          <w:rStyle w:val="41"/>
          <w:rFonts w:ascii="仿宋_GB2312" w:eastAsia="仿宋_GB2312"/>
          <w:b/>
          <w:bCs/>
          <w:i w:val="0"/>
          <w:iCs w:val="0"/>
        </w:rPr>
        <w:t>3.响应文件</w:t>
      </w:r>
      <w:r>
        <w:rPr>
          <w:i w:val="0"/>
          <w:iCs w:val="0"/>
        </w:rPr>
        <w:tab/>
      </w:r>
      <w:r>
        <w:rPr>
          <w:i w:val="0"/>
          <w:iCs w:val="0"/>
        </w:rPr>
        <w:fldChar w:fldCharType="begin"/>
      </w:r>
      <w:r>
        <w:rPr>
          <w:i w:val="0"/>
          <w:iCs w:val="0"/>
        </w:rPr>
        <w:instrText xml:space="preserve"> PAGEREF _Toc35617577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"_Toc35617578" </w:instrText>
      </w:r>
      <w:r>
        <w:fldChar w:fldCharType="separate"/>
      </w:r>
      <w:r>
        <w:rPr>
          <w:rStyle w:val="41"/>
          <w:rFonts w:ascii="仿宋_GB2312" w:hAnsi="宋体" w:eastAsia="仿宋_GB2312"/>
          <w:b/>
          <w:bCs/>
          <w:i w:val="0"/>
          <w:iCs w:val="0"/>
        </w:rPr>
        <w:t>3.1响应文件的编写</w:t>
      </w:r>
      <w:r>
        <w:rPr>
          <w:i w:val="0"/>
          <w:iCs w:val="0"/>
        </w:rPr>
        <w:tab/>
      </w:r>
      <w:r>
        <w:rPr>
          <w:i w:val="0"/>
          <w:iCs w:val="0"/>
        </w:rPr>
        <w:fldChar w:fldCharType="begin"/>
      </w:r>
      <w:r>
        <w:rPr>
          <w:i w:val="0"/>
          <w:iCs w:val="0"/>
        </w:rPr>
        <w:instrText xml:space="preserve"> PAGEREF _Toc35617578 \h </w:instrText>
      </w:r>
      <w:r>
        <w:rPr>
          <w:i w:val="0"/>
          <w:iCs w:val="0"/>
        </w:rPr>
        <w:fldChar w:fldCharType="separate"/>
      </w:r>
      <w:r>
        <w:rPr>
          <w:i w:val="0"/>
          <w:iCs w:val="0"/>
        </w:rPr>
        <w:t>5</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"_Toc35617579" </w:instrText>
      </w:r>
      <w:r>
        <w:fldChar w:fldCharType="separate"/>
      </w:r>
      <w:r>
        <w:rPr>
          <w:rStyle w:val="41"/>
          <w:rFonts w:ascii="仿宋_GB2312" w:hAnsi="宋体" w:eastAsia="仿宋_GB2312"/>
          <w:b/>
          <w:bCs/>
          <w:i w:val="0"/>
          <w:iCs w:val="0"/>
        </w:rPr>
        <w:t>3.2 响应文件的组成</w:t>
      </w:r>
      <w:r>
        <w:rPr>
          <w:i w:val="0"/>
          <w:iCs w:val="0"/>
        </w:rPr>
        <w:tab/>
      </w:r>
      <w:r>
        <w:rPr>
          <w:i w:val="0"/>
          <w:iCs w:val="0"/>
        </w:rPr>
        <w:fldChar w:fldCharType="begin"/>
      </w:r>
      <w:r>
        <w:rPr>
          <w:i w:val="0"/>
          <w:iCs w:val="0"/>
        </w:rPr>
        <w:instrText xml:space="preserve"> PAGEREF _Toc35617579 \h </w:instrText>
      </w:r>
      <w:r>
        <w:rPr>
          <w:i w:val="0"/>
          <w:iCs w:val="0"/>
        </w:rPr>
        <w:fldChar w:fldCharType="separate"/>
      </w:r>
      <w:r>
        <w:rPr>
          <w:i w:val="0"/>
          <w:iCs w:val="0"/>
        </w:rPr>
        <w:t>6</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"_Toc35617580" </w:instrText>
      </w:r>
      <w:r>
        <w:fldChar w:fldCharType="separate"/>
      </w:r>
      <w:r>
        <w:rPr>
          <w:rStyle w:val="41"/>
          <w:rFonts w:ascii="仿宋_GB2312" w:hAnsi="宋体" w:eastAsia="仿宋_GB2312"/>
          <w:b/>
          <w:bCs/>
          <w:i w:val="0"/>
          <w:iCs w:val="0"/>
        </w:rPr>
        <w:t>3.3 响应文件的修改和撤回</w:t>
      </w:r>
      <w:r>
        <w:rPr>
          <w:i w:val="0"/>
          <w:iCs w:val="0"/>
        </w:rPr>
        <w:tab/>
      </w:r>
      <w:r>
        <w:rPr>
          <w:i w:val="0"/>
          <w:iCs w:val="0"/>
        </w:rPr>
        <w:fldChar w:fldCharType="begin"/>
      </w:r>
      <w:r>
        <w:rPr>
          <w:i w:val="0"/>
          <w:iCs w:val="0"/>
        </w:rPr>
        <w:instrText xml:space="preserve"> PAGEREF _Toc35617580 \h </w:instrText>
      </w:r>
      <w:r>
        <w:rPr>
          <w:i w:val="0"/>
          <w:iCs w:val="0"/>
        </w:rPr>
        <w:fldChar w:fldCharType="separate"/>
      </w:r>
      <w:r>
        <w:rPr>
          <w:i w:val="0"/>
          <w:iCs w:val="0"/>
        </w:rPr>
        <w:t>7</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"_Toc35617581" </w:instrText>
      </w:r>
      <w:r>
        <w:fldChar w:fldCharType="separate"/>
      </w:r>
      <w:r>
        <w:rPr>
          <w:rStyle w:val="41"/>
          <w:rFonts w:ascii="仿宋_GB2312" w:eastAsia="仿宋_GB2312"/>
          <w:b/>
          <w:bCs/>
          <w:i w:val="0"/>
          <w:iCs w:val="0"/>
        </w:rPr>
        <w:t>4.响应总则</w:t>
      </w:r>
      <w:r>
        <w:rPr>
          <w:i w:val="0"/>
          <w:iCs w:val="0"/>
        </w:rPr>
        <w:tab/>
      </w:r>
      <w:r>
        <w:rPr>
          <w:i w:val="0"/>
          <w:iCs w:val="0"/>
        </w:rPr>
        <w:fldChar w:fldCharType="begin"/>
      </w:r>
      <w:r>
        <w:rPr>
          <w:i w:val="0"/>
          <w:iCs w:val="0"/>
        </w:rPr>
        <w:instrText xml:space="preserve"> PAGEREF _Toc35617581 \h </w:instrText>
      </w:r>
      <w:r>
        <w:rPr>
          <w:i w:val="0"/>
          <w:iCs w:val="0"/>
        </w:rPr>
        <w:fldChar w:fldCharType="separate"/>
      </w:r>
      <w:r>
        <w:rPr>
          <w:i w:val="0"/>
          <w:iCs w:val="0"/>
        </w:rPr>
        <w:t>7</w:t>
      </w:r>
      <w:r>
        <w:rPr>
          <w:i w:val="0"/>
          <w:iCs w:val="0"/>
        </w:rPr>
        <w:fldChar w:fldCharType="end"/>
      </w:r>
      <w:r>
        <w:rPr>
          <w:i w:val="0"/>
          <w:iCs w:val="0"/>
        </w:rPr>
        <w:fldChar w:fldCharType="end"/>
      </w:r>
    </w:p>
    <w:p>
      <w:pPr>
        <w:pStyle w:val="29"/>
        <w:rPr>
          <w:rFonts w:ascii="Calibri" w:hAnsi="Calibri"/>
          <w:b w:val="0"/>
          <w:bCs w:val="0"/>
          <w:caps w:val="0"/>
          <w:szCs w:val="22"/>
        </w:rPr>
      </w:pPr>
      <w:r>
        <w:fldChar w:fldCharType="begin"/>
      </w:r>
      <w:r>
        <w:instrText xml:space="preserve"> HYPERLINK \l "_Toc35617582" </w:instrText>
      </w:r>
      <w:r>
        <w:fldChar w:fldCharType="separate"/>
      </w:r>
      <w:r>
        <w:rPr>
          <w:rStyle w:val="41"/>
          <w:rFonts w:ascii="方正小标宋简体" w:hAnsi="宋体" w:eastAsia="方正小标宋简体" w:cs="Tahoma"/>
          <w:spacing w:val="20"/>
        </w:rPr>
        <w:t>第三章 采购人需求</w:t>
      </w:r>
      <w:r>
        <w:tab/>
      </w:r>
      <w:r>
        <w:fldChar w:fldCharType="begin"/>
      </w:r>
      <w:r>
        <w:instrText xml:space="preserve"> PAGEREF _Toc35617582 \h </w:instrText>
      </w:r>
      <w:r>
        <w:fldChar w:fldCharType="separate"/>
      </w:r>
      <w:r>
        <w:t>9</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"_Toc35617583" </w:instrText>
      </w:r>
      <w:r>
        <w:fldChar w:fldCharType="separate"/>
      </w:r>
      <w:r>
        <w:rPr>
          <w:rStyle w:val="41"/>
          <w:rFonts w:ascii="仿宋_GB2312" w:hAnsi="宋体" w:eastAsia="仿宋_GB2312"/>
          <w:b/>
        </w:rPr>
        <w:t>1.总体说明</w:t>
      </w:r>
      <w:r>
        <w:tab/>
      </w:r>
      <w:r>
        <w:fldChar w:fldCharType="begin"/>
      </w:r>
      <w:r>
        <w:instrText xml:space="preserve"> PAGEREF _Toc35617583 \h </w:instrText>
      </w:r>
      <w:r>
        <w:fldChar w:fldCharType="separate"/>
      </w:r>
      <w:r>
        <w:t>9</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"_Toc35617584" </w:instrText>
      </w:r>
      <w:r>
        <w:fldChar w:fldCharType="separate"/>
      </w:r>
      <w:r>
        <w:rPr>
          <w:rStyle w:val="41"/>
          <w:rFonts w:ascii="仿宋_GB2312" w:hAnsi="宋体" w:eastAsia="仿宋_GB2312"/>
          <w:b/>
        </w:rPr>
        <w:t>2.配餐指标</w:t>
      </w:r>
      <w:r>
        <w:tab/>
      </w:r>
      <w:r>
        <w:fldChar w:fldCharType="begin"/>
      </w:r>
      <w:r>
        <w:instrText xml:space="preserve"> PAGEREF _Toc35617584 \h </w:instrText>
      </w:r>
      <w:r>
        <w:fldChar w:fldCharType="separate"/>
      </w:r>
      <w:r>
        <w:t>9</w:t>
      </w:r>
      <w:r>
        <w:fldChar w:fldCharType="end"/>
      </w:r>
      <w:r>
        <w:fldChar w:fldCharType="end"/>
      </w:r>
    </w:p>
    <w:p>
      <w:pPr>
        <w:pStyle w:val="21"/>
        <w:tabs>
          <w:tab w:val="right" w:leader="dot" w:pos="9061"/>
        </w:tabs>
        <w:rPr>
          <w:rFonts w:ascii="Calibri" w:hAnsi="Calibri"/>
          <w:i w:val="0"/>
          <w:iCs w:val="0"/>
          <w:szCs w:val="22"/>
        </w:rPr>
      </w:pPr>
      <w:r>
        <w:fldChar w:fldCharType="begin"/>
      </w:r>
      <w:r>
        <w:instrText xml:space="preserve"> HYPERLINK \l "_Toc35617585" </w:instrText>
      </w:r>
      <w:r>
        <w:fldChar w:fldCharType="separate"/>
      </w:r>
      <w:r>
        <w:rPr>
          <w:rStyle w:val="41"/>
          <w:rFonts w:ascii="仿宋_GB2312" w:hAnsi="宋体" w:eastAsia="仿宋_GB2312"/>
          <w:b/>
          <w:bCs/>
          <w:i w:val="0"/>
          <w:iCs w:val="0"/>
        </w:rPr>
        <w:t>2.1 配餐内容</w:t>
      </w:r>
      <w:r>
        <w:rPr>
          <w:i w:val="0"/>
          <w:iCs w:val="0"/>
        </w:rPr>
        <w:tab/>
      </w:r>
      <w:r>
        <w:rPr>
          <w:i w:val="0"/>
          <w:iCs w:val="0"/>
        </w:rPr>
        <w:fldChar w:fldCharType="begin"/>
      </w:r>
      <w:r>
        <w:rPr>
          <w:i w:val="0"/>
          <w:iCs w:val="0"/>
        </w:rPr>
        <w:instrText xml:space="preserve"> PAGEREF _Toc35617585 \h </w:instrText>
      </w:r>
      <w:r>
        <w:rPr>
          <w:i w:val="0"/>
          <w:iCs w:val="0"/>
        </w:rPr>
        <w:fldChar w:fldCharType="separate"/>
      </w:r>
      <w:r>
        <w:rPr>
          <w:i w:val="0"/>
          <w:iCs w:val="0"/>
        </w:rPr>
        <w:t>9</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"_Toc35617586" </w:instrText>
      </w:r>
      <w:r>
        <w:fldChar w:fldCharType="separate"/>
      </w:r>
      <w:r>
        <w:rPr>
          <w:rStyle w:val="41"/>
          <w:rFonts w:ascii="仿宋_GB2312" w:hAnsi="宋体" w:eastAsia="仿宋_GB2312"/>
          <w:b/>
          <w:bCs/>
          <w:i w:val="0"/>
          <w:iCs w:val="0"/>
        </w:rPr>
        <w:t>2.2 配餐要求</w:t>
      </w:r>
      <w:r>
        <w:rPr>
          <w:i w:val="0"/>
          <w:iCs w:val="0"/>
        </w:rPr>
        <w:tab/>
      </w:r>
      <w:r>
        <w:rPr>
          <w:i w:val="0"/>
          <w:iCs w:val="0"/>
        </w:rPr>
        <w:fldChar w:fldCharType="begin"/>
      </w:r>
      <w:r>
        <w:rPr>
          <w:i w:val="0"/>
          <w:iCs w:val="0"/>
        </w:rPr>
        <w:instrText xml:space="preserve"> PAGEREF _Toc35617586 \h </w:instrText>
      </w:r>
      <w:r>
        <w:rPr>
          <w:i w:val="0"/>
          <w:iCs w:val="0"/>
        </w:rPr>
        <w:fldChar w:fldCharType="separate"/>
      </w:r>
      <w:r>
        <w:rPr>
          <w:i w:val="0"/>
          <w:iCs w:val="0"/>
        </w:rPr>
        <w:t>9</w:t>
      </w:r>
      <w:r>
        <w:rPr>
          <w:i w:val="0"/>
          <w:iCs w:val="0"/>
        </w:rPr>
        <w:fldChar w:fldCharType="end"/>
      </w:r>
      <w:r>
        <w:rPr>
          <w:i w:val="0"/>
          <w:iCs w:val="0"/>
        </w:rPr>
        <w:fldChar w:fldCharType="end"/>
      </w:r>
    </w:p>
    <w:p>
      <w:pPr>
        <w:pStyle w:val="31"/>
        <w:tabs>
          <w:tab w:val="right" w:leader="dot" w:pos="9061"/>
        </w:tabs>
        <w:rPr>
          <w:rFonts w:ascii="Calibri" w:hAnsi="Calibri"/>
          <w:szCs w:val="22"/>
        </w:rPr>
      </w:pPr>
      <w:r>
        <w:fldChar w:fldCharType="begin"/>
      </w:r>
      <w:r>
        <w:instrText xml:space="preserve"> HYPERLINK \l "_Toc35617587" </w:instrText>
      </w:r>
      <w:r>
        <w:fldChar w:fldCharType="separate"/>
      </w:r>
      <w:r>
        <w:rPr>
          <w:rStyle w:val="41"/>
          <w:rFonts w:ascii="仿宋_GB2312" w:hAnsi="宋体" w:eastAsia="仿宋_GB2312"/>
          <w:b/>
        </w:rPr>
        <w:t>3.供应保证</w:t>
      </w:r>
      <w:r>
        <w:tab/>
      </w:r>
      <w:r>
        <w:fldChar w:fldCharType="begin"/>
      </w:r>
      <w:r>
        <w:instrText xml:space="preserve"> PAGEREF _Toc35617587 \h </w:instrText>
      </w:r>
      <w:r>
        <w:fldChar w:fldCharType="separate"/>
      </w:r>
      <w:r>
        <w:t>10</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"_Toc35617588" </w:instrText>
      </w:r>
      <w:r>
        <w:fldChar w:fldCharType="separate"/>
      </w:r>
      <w:r>
        <w:rPr>
          <w:rStyle w:val="41"/>
          <w:rFonts w:ascii="仿宋_GB2312" w:hAnsi="宋体" w:eastAsia="仿宋_GB2312"/>
          <w:b/>
        </w:rPr>
        <w:t>4.付款方式</w:t>
      </w:r>
      <w:r>
        <w:tab/>
      </w:r>
      <w:r>
        <w:fldChar w:fldCharType="begin"/>
      </w:r>
      <w:r>
        <w:instrText xml:space="preserve"> PAGEREF _Toc35617588 \h </w:instrText>
      </w:r>
      <w:r>
        <w:fldChar w:fldCharType="separate"/>
      </w:r>
      <w:r>
        <w:t>10</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"_Toc35617589" </w:instrText>
      </w:r>
      <w:r>
        <w:fldChar w:fldCharType="separate"/>
      </w:r>
      <w:r>
        <w:rPr>
          <w:rStyle w:val="41"/>
          <w:rFonts w:ascii="仿宋_GB2312" w:hAnsi="宋体" w:eastAsia="仿宋_GB2312"/>
          <w:b/>
        </w:rPr>
        <w:t>5.服务保证</w:t>
      </w:r>
      <w:r>
        <w:tab/>
      </w:r>
      <w:r>
        <w:fldChar w:fldCharType="begin"/>
      </w:r>
      <w:r>
        <w:instrText xml:space="preserve"> PAGEREF _Toc35617589 \h </w:instrText>
      </w:r>
      <w:r>
        <w:fldChar w:fldCharType="separate"/>
      </w:r>
      <w:r>
        <w:t>10</w:t>
      </w:r>
      <w:r>
        <w:fldChar w:fldCharType="end"/>
      </w:r>
      <w:r>
        <w:fldChar w:fldCharType="end"/>
      </w:r>
    </w:p>
    <w:p>
      <w:pPr>
        <w:pStyle w:val="29"/>
        <w:rPr>
          <w:rFonts w:ascii="Calibri" w:hAnsi="Calibri"/>
          <w:b w:val="0"/>
          <w:bCs w:val="0"/>
          <w:caps w:val="0"/>
          <w:szCs w:val="22"/>
        </w:rPr>
      </w:pPr>
      <w:r>
        <w:fldChar w:fldCharType="begin"/>
      </w:r>
      <w:r>
        <w:instrText xml:space="preserve"> HYPERLINK \l "_Toc35617590" </w:instrText>
      </w:r>
      <w:r>
        <w:fldChar w:fldCharType="separate"/>
      </w:r>
      <w:r>
        <w:rPr>
          <w:rStyle w:val="41"/>
          <w:rFonts w:ascii="方正小标宋简体" w:hAnsi="宋体" w:eastAsia="方正小标宋简体" w:cs="Tahoma"/>
          <w:spacing w:val="20"/>
        </w:rPr>
        <w:t>第四章  评审方式及程序</w:t>
      </w:r>
      <w:r>
        <w:tab/>
      </w:r>
      <w:r>
        <w:fldChar w:fldCharType="begin"/>
      </w:r>
      <w:r>
        <w:instrText xml:space="preserve"> PAGEREF _Toc35617590 \h </w:instrText>
      </w:r>
      <w:r>
        <w:fldChar w:fldCharType="separate"/>
      </w:r>
      <w:r>
        <w:t>12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"_Toc35617591" </w:instrText>
      </w:r>
      <w:r>
        <w:fldChar w:fldCharType="separate"/>
      </w:r>
      <w:r>
        <w:rPr>
          <w:rStyle w:val="41"/>
          <w:rFonts w:ascii="仿宋_GB2312" w:hAnsi="宋体" w:eastAsia="仿宋_GB2312"/>
          <w:b/>
        </w:rPr>
        <w:t>1.评审方式</w:t>
      </w:r>
      <w:r>
        <w:tab/>
      </w:r>
      <w:r>
        <w:fldChar w:fldCharType="begin"/>
      </w:r>
      <w:r>
        <w:instrText xml:space="preserve"> PAGEREF _Toc35617591 \h </w:instrText>
      </w:r>
      <w:r>
        <w:fldChar w:fldCharType="separate"/>
      </w:r>
      <w:r>
        <w:t>12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"_Toc35617592" </w:instrText>
      </w:r>
      <w:r>
        <w:fldChar w:fldCharType="separate"/>
      </w:r>
      <w:r>
        <w:rPr>
          <w:rStyle w:val="41"/>
          <w:rFonts w:ascii="仿宋_GB2312" w:hAnsi="宋体" w:eastAsia="仿宋_GB2312"/>
          <w:b/>
        </w:rPr>
        <w:t>2.评审程序</w:t>
      </w:r>
      <w:r>
        <w:tab/>
      </w:r>
      <w:r>
        <w:fldChar w:fldCharType="begin"/>
      </w:r>
      <w:r>
        <w:instrText xml:space="preserve"> PAGEREF _Toc35617592 \h </w:instrText>
      </w:r>
      <w:r>
        <w:fldChar w:fldCharType="separate"/>
      </w:r>
      <w:r>
        <w:t>12</w:t>
      </w:r>
      <w:r>
        <w:fldChar w:fldCharType="end"/>
      </w:r>
      <w:r>
        <w:fldChar w:fldCharType="end"/>
      </w:r>
    </w:p>
    <w:p>
      <w:pPr>
        <w:pStyle w:val="21"/>
        <w:tabs>
          <w:tab w:val="right" w:leader="dot" w:pos="9061"/>
        </w:tabs>
        <w:rPr>
          <w:rFonts w:ascii="Calibri" w:hAnsi="Calibri"/>
          <w:i w:val="0"/>
          <w:iCs w:val="0"/>
          <w:szCs w:val="22"/>
        </w:rPr>
      </w:pPr>
      <w:r>
        <w:fldChar w:fldCharType="begin"/>
      </w:r>
      <w:r>
        <w:instrText xml:space="preserve"> HYPERLINK \l "_Toc35617593" </w:instrText>
      </w:r>
      <w:r>
        <w:fldChar w:fldCharType="separate"/>
      </w:r>
      <w:r>
        <w:rPr>
          <w:rStyle w:val="41"/>
          <w:rFonts w:ascii="仿宋_GB2312" w:hAnsi="宋体" w:eastAsia="仿宋_GB2312"/>
          <w:b/>
          <w:bCs/>
          <w:i w:val="0"/>
          <w:iCs w:val="0"/>
        </w:rPr>
        <w:t>2.1 响应文件符合性审查</w:t>
      </w:r>
      <w:r>
        <w:rPr>
          <w:i w:val="0"/>
          <w:iCs w:val="0"/>
        </w:rPr>
        <w:tab/>
      </w:r>
      <w:r>
        <w:rPr>
          <w:i w:val="0"/>
          <w:iCs w:val="0"/>
        </w:rPr>
        <w:fldChar w:fldCharType="begin"/>
      </w:r>
      <w:r>
        <w:rPr>
          <w:i w:val="0"/>
          <w:iCs w:val="0"/>
        </w:rPr>
        <w:instrText xml:space="preserve"> PAGEREF _Toc35617593 \h </w:instrText>
      </w:r>
      <w:r>
        <w:rPr>
          <w:i w:val="0"/>
          <w:iCs w:val="0"/>
        </w:rPr>
        <w:fldChar w:fldCharType="separate"/>
      </w:r>
      <w:r>
        <w:rPr>
          <w:i w:val="0"/>
          <w:iCs w:val="0"/>
        </w:rPr>
        <w:t>12</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"_Toc35617594" </w:instrText>
      </w:r>
      <w:r>
        <w:fldChar w:fldCharType="separate"/>
      </w:r>
      <w:r>
        <w:rPr>
          <w:rStyle w:val="41"/>
          <w:rFonts w:ascii="仿宋_GB2312" w:hAnsi="宋体" w:eastAsia="仿宋_GB2312"/>
          <w:b/>
          <w:i w:val="0"/>
          <w:iCs w:val="0"/>
        </w:rPr>
        <w:t>2.2 响应文件的</w:t>
      </w:r>
      <w:r>
        <w:rPr>
          <w:rStyle w:val="41"/>
          <w:rFonts w:ascii="仿宋_GB2312" w:hAnsi="宋体" w:eastAsia="仿宋_GB2312"/>
          <w:b/>
          <w:bCs/>
          <w:i w:val="0"/>
          <w:iCs w:val="0"/>
        </w:rPr>
        <w:t>澄清</w:t>
      </w:r>
      <w:r>
        <w:rPr>
          <w:i w:val="0"/>
          <w:iCs w:val="0"/>
        </w:rPr>
        <w:tab/>
      </w:r>
      <w:r>
        <w:rPr>
          <w:i w:val="0"/>
          <w:iCs w:val="0"/>
        </w:rPr>
        <w:fldChar w:fldCharType="begin"/>
      </w:r>
      <w:r>
        <w:rPr>
          <w:i w:val="0"/>
          <w:iCs w:val="0"/>
        </w:rPr>
        <w:instrText xml:space="preserve"> PAGEREF _Toc35617594 \h </w:instrText>
      </w:r>
      <w:r>
        <w:rPr>
          <w:i w:val="0"/>
          <w:iCs w:val="0"/>
        </w:rPr>
        <w:fldChar w:fldCharType="separate"/>
      </w:r>
      <w:r>
        <w:rPr>
          <w:i w:val="0"/>
          <w:iCs w:val="0"/>
        </w:rPr>
        <w:t>13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"_Toc35617595" </w:instrText>
      </w:r>
      <w:r>
        <w:fldChar w:fldCharType="separate"/>
      </w:r>
      <w:r>
        <w:rPr>
          <w:rStyle w:val="41"/>
          <w:rFonts w:ascii="仿宋_GB2312" w:hAnsi="宋体" w:eastAsia="仿宋_GB2312"/>
          <w:b/>
          <w:i w:val="0"/>
          <w:iCs w:val="0"/>
        </w:rPr>
        <w:t>2.3 比较与评价</w:t>
      </w:r>
      <w:r>
        <w:rPr>
          <w:i w:val="0"/>
          <w:iCs w:val="0"/>
        </w:rPr>
        <w:tab/>
      </w:r>
      <w:r>
        <w:rPr>
          <w:i w:val="0"/>
          <w:iCs w:val="0"/>
        </w:rPr>
        <w:fldChar w:fldCharType="begin"/>
      </w:r>
      <w:r>
        <w:rPr>
          <w:i w:val="0"/>
          <w:iCs w:val="0"/>
        </w:rPr>
        <w:instrText xml:space="preserve"> PAGEREF _Toc35617595 \h </w:instrText>
      </w:r>
      <w:r>
        <w:rPr>
          <w:i w:val="0"/>
          <w:iCs w:val="0"/>
        </w:rPr>
        <w:fldChar w:fldCharType="separate"/>
      </w:r>
      <w:r>
        <w:rPr>
          <w:i w:val="0"/>
          <w:iCs w:val="0"/>
        </w:rPr>
        <w:t>13</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"_Toc35617596" </w:instrText>
      </w:r>
      <w:r>
        <w:fldChar w:fldCharType="separate"/>
      </w:r>
      <w:r>
        <w:rPr>
          <w:rStyle w:val="41"/>
          <w:rFonts w:ascii="仿宋_GB2312" w:hAnsi="宋体" w:eastAsia="仿宋_GB2312"/>
          <w:b/>
          <w:bCs/>
          <w:i w:val="0"/>
          <w:iCs w:val="0"/>
        </w:rPr>
        <w:t>2.4 综合评分的计算</w:t>
      </w:r>
      <w:r>
        <w:rPr>
          <w:i w:val="0"/>
          <w:iCs w:val="0"/>
        </w:rPr>
        <w:tab/>
      </w:r>
      <w:r>
        <w:rPr>
          <w:i w:val="0"/>
          <w:iCs w:val="0"/>
        </w:rPr>
        <w:fldChar w:fldCharType="begin"/>
      </w:r>
      <w:r>
        <w:rPr>
          <w:i w:val="0"/>
          <w:iCs w:val="0"/>
        </w:rPr>
        <w:instrText xml:space="preserve"> PAGEREF _Toc35617596 \h </w:instrText>
      </w:r>
      <w:r>
        <w:rPr>
          <w:i w:val="0"/>
          <w:iCs w:val="0"/>
        </w:rPr>
        <w:fldChar w:fldCharType="separate"/>
      </w:r>
      <w:r>
        <w:rPr>
          <w:i w:val="0"/>
          <w:iCs w:val="0"/>
        </w:rPr>
        <w:t>14</w:t>
      </w:r>
      <w:r>
        <w:rPr>
          <w:i w:val="0"/>
          <w:iCs w:val="0"/>
        </w:rPr>
        <w:fldChar w:fldCharType="end"/>
      </w:r>
      <w:r>
        <w:rPr>
          <w:i w:val="0"/>
          <w:iCs w:val="0"/>
        </w:rPr>
        <w:fldChar w:fldCharType="end"/>
      </w:r>
    </w:p>
    <w:p>
      <w:pPr>
        <w:pStyle w:val="21"/>
        <w:tabs>
          <w:tab w:val="right" w:leader="dot" w:pos="9061"/>
        </w:tabs>
        <w:rPr>
          <w:rFonts w:ascii="Calibri" w:hAnsi="Calibri"/>
          <w:i w:val="0"/>
          <w:iCs w:val="0"/>
          <w:szCs w:val="22"/>
        </w:rPr>
      </w:pPr>
      <w:r>
        <w:fldChar w:fldCharType="begin"/>
      </w:r>
      <w:r>
        <w:instrText xml:space="preserve"> HYPERLINK \l "_Toc35617597" </w:instrText>
      </w:r>
      <w:r>
        <w:fldChar w:fldCharType="separate"/>
      </w:r>
      <w:r>
        <w:rPr>
          <w:rStyle w:val="41"/>
          <w:rFonts w:ascii="仿宋_GB2312" w:hAnsi="宋体" w:eastAsia="仿宋_GB2312"/>
          <w:b/>
          <w:i w:val="0"/>
          <w:iCs w:val="0"/>
        </w:rPr>
        <w:t>2.5 确定中选人</w:t>
      </w:r>
      <w:r>
        <w:rPr>
          <w:i w:val="0"/>
          <w:iCs w:val="0"/>
        </w:rPr>
        <w:tab/>
      </w:r>
      <w:r>
        <w:rPr>
          <w:i w:val="0"/>
          <w:iCs w:val="0"/>
        </w:rPr>
        <w:fldChar w:fldCharType="begin"/>
      </w:r>
      <w:r>
        <w:rPr>
          <w:i w:val="0"/>
          <w:iCs w:val="0"/>
        </w:rPr>
        <w:instrText xml:space="preserve"> PAGEREF _Toc35617597 \h </w:instrText>
      </w:r>
      <w:r>
        <w:rPr>
          <w:i w:val="0"/>
          <w:iCs w:val="0"/>
        </w:rPr>
        <w:fldChar w:fldCharType="separate"/>
      </w:r>
      <w:r>
        <w:rPr>
          <w:i w:val="0"/>
          <w:iCs w:val="0"/>
        </w:rPr>
        <w:t>14</w:t>
      </w:r>
      <w:r>
        <w:rPr>
          <w:i w:val="0"/>
          <w:iCs w:val="0"/>
        </w:rPr>
        <w:fldChar w:fldCharType="end"/>
      </w:r>
      <w:r>
        <w:rPr>
          <w:i w:val="0"/>
          <w:iCs w:val="0"/>
        </w:rPr>
        <w:fldChar w:fldCharType="end"/>
      </w:r>
    </w:p>
    <w:p>
      <w:pPr>
        <w:pStyle w:val="29"/>
        <w:rPr>
          <w:rFonts w:ascii="Calibri" w:hAnsi="Calibri"/>
          <w:b w:val="0"/>
          <w:bCs w:val="0"/>
          <w:caps w:val="0"/>
          <w:szCs w:val="22"/>
        </w:rPr>
      </w:pPr>
      <w:r>
        <w:fldChar w:fldCharType="begin"/>
      </w:r>
      <w:r>
        <w:instrText xml:space="preserve"> HYPERLINK \l "_Toc35617598" </w:instrText>
      </w:r>
      <w:r>
        <w:fldChar w:fldCharType="separate"/>
      </w:r>
      <w:r>
        <w:rPr>
          <w:rStyle w:val="41"/>
          <w:rFonts w:ascii="方正小标宋简体" w:hAnsi="宋体" w:eastAsia="方正小标宋简体" w:cs="Tahoma"/>
          <w:spacing w:val="20"/>
        </w:rPr>
        <w:t>提供资料一览表</w:t>
      </w:r>
      <w:r>
        <w:tab/>
      </w:r>
      <w:r>
        <w:fldChar w:fldCharType="begin"/>
      </w:r>
      <w:r>
        <w:instrText xml:space="preserve"> PAGEREF _Toc35617598 \h </w:instrText>
      </w:r>
      <w:r>
        <w:fldChar w:fldCharType="separate"/>
      </w:r>
      <w:r>
        <w:t>18</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"_Toc35617599" </w:instrText>
      </w:r>
      <w:r>
        <w:fldChar w:fldCharType="separate"/>
      </w:r>
      <w:r>
        <w:rPr>
          <w:rStyle w:val="41"/>
          <w:rFonts w:ascii="仿宋_GB2312" w:hAnsi="宋体" w:eastAsia="仿宋_GB2312"/>
          <w:b/>
        </w:rPr>
        <w:t>格式1：响应函</w:t>
      </w:r>
      <w:r>
        <w:tab/>
      </w:r>
      <w:r>
        <w:fldChar w:fldCharType="begin"/>
      </w:r>
      <w:r>
        <w:instrText xml:space="preserve"> PAGEREF _Toc35617599 \h </w:instrText>
      </w:r>
      <w:r>
        <w:fldChar w:fldCharType="separate"/>
      </w:r>
      <w:r>
        <w:t>19</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"_Toc35617600" </w:instrText>
      </w:r>
      <w:r>
        <w:fldChar w:fldCharType="separate"/>
      </w:r>
      <w:r>
        <w:rPr>
          <w:rStyle w:val="41"/>
          <w:rFonts w:ascii="仿宋_GB2312" w:hAnsi="宋体" w:eastAsia="仿宋_GB2312"/>
          <w:b/>
        </w:rPr>
        <w:t>格式2：法定代表人证明及授权书</w:t>
      </w:r>
      <w:r>
        <w:tab/>
      </w:r>
      <w:r>
        <w:fldChar w:fldCharType="begin"/>
      </w:r>
      <w:r>
        <w:instrText xml:space="preserve"> PAGEREF _Toc35617600 \h </w:instrText>
      </w:r>
      <w:r>
        <w:fldChar w:fldCharType="separate"/>
      </w:r>
      <w:r>
        <w:t>21</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"_Toc35617601" </w:instrText>
      </w:r>
      <w:r>
        <w:fldChar w:fldCharType="separate"/>
      </w:r>
      <w:r>
        <w:rPr>
          <w:rStyle w:val="41"/>
          <w:rFonts w:ascii="仿宋_GB2312" w:hAnsi="宋体" w:eastAsia="仿宋_GB2312"/>
          <w:b/>
        </w:rPr>
        <w:t>格式3：资格声明函</w:t>
      </w:r>
      <w:r>
        <w:tab/>
      </w:r>
      <w:r>
        <w:fldChar w:fldCharType="begin"/>
      </w:r>
      <w:r>
        <w:instrText xml:space="preserve"> PAGEREF _Toc35617601 \h </w:instrText>
      </w:r>
      <w:r>
        <w:fldChar w:fldCharType="separate"/>
      </w:r>
      <w:r>
        <w:t>2</w:t>
      </w:r>
      <w:r>
        <w:rPr>
          <w:rFonts w:hint="eastAsia"/>
        </w:rPr>
        <w:t>2</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"_Toc35617602" </w:instrText>
      </w:r>
      <w:r>
        <w:fldChar w:fldCharType="separate"/>
      </w:r>
      <w:r>
        <w:rPr>
          <w:rStyle w:val="41"/>
          <w:rFonts w:ascii="仿宋_GB2312" w:hAnsi="宋体" w:eastAsia="仿宋_GB2312"/>
          <w:b/>
        </w:rPr>
        <w:t>格式4：商务评审索引表</w:t>
      </w:r>
      <w:r>
        <w:tab/>
      </w:r>
      <w:r>
        <w:fldChar w:fldCharType="begin"/>
      </w:r>
      <w:r>
        <w:instrText xml:space="preserve"> PAGEREF _Toc35617602 \h </w:instrText>
      </w:r>
      <w:r>
        <w:fldChar w:fldCharType="separate"/>
      </w:r>
      <w:r>
        <w:t>2</w:t>
      </w:r>
      <w:r>
        <w:rPr>
          <w:rFonts w:hint="eastAsia"/>
        </w:rPr>
        <w:t>3</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"_Toc35617603" </w:instrText>
      </w:r>
      <w:r>
        <w:fldChar w:fldCharType="separate"/>
      </w:r>
      <w:r>
        <w:rPr>
          <w:rStyle w:val="41"/>
          <w:rFonts w:ascii="仿宋_GB2312" w:hAnsi="宋体" w:eastAsia="仿宋_GB2312"/>
          <w:b/>
        </w:rPr>
        <w:t>格式5：同意采购文件条款说明</w:t>
      </w:r>
      <w:r>
        <w:tab/>
      </w:r>
      <w:r>
        <w:fldChar w:fldCharType="begin"/>
      </w:r>
      <w:r>
        <w:instrText xml:space="preserve"> PAGEREF _Toc35617603 \h </w:instrText>
      </w:r>
      <w:r>
        <w:fldChar w:fldCharType="separate"/>
      </w:r>
      <w:r>
        <w:t>2</w:t>
      </w:r>
      <w:r>
        <w:rPr>
          <w:rFonts w:hint="eastAsia"/>
        </w:rPr>
        <w:t>4</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"_Toc35617604" </w:instrText>
      </w:r>
      <w:r>
        <w:fldChar w:fldCharType="separate"/>
      </w:r>
      <w:r>
        <w:rPr>
          <w:rStyle w:val="41"/>
          <w:rFonts w:ascii="仿宋_GB2312" w:hAnsi="宋体" w:eastAsia="仿宋_GB2312"/>
          <w:b/>
        </w:rPr>
        <w:t>格式6：20</w:t>
      </w:r>
      <w:r>
        <w:rPr>
          <w:rStyle w:val="41"/>
          <w:rFonts w:hint="eastAsia" w:ascii="仿宋_GB2312" w:hAnsi="宋体" w:eastAsia="仿宋_GB2312"/>
          <w:b/>
        </w:rPr>
        <w:t>20</w:t>
      </w:r>
      <w:r>
        <w:rPr>
          <w:rStyle w:val="41"/>
          <w:rFonts w:ascii="仿宋_GB2312" w:hAnsi="宋体" w:eastAsia="仿宋_GB2312"/>
          <w:b/>
        </w:rPr>
        <w:t>年至今同类项目业绩情况一览表</w:t>
      </w:r>
      <w:r>
        <w:tab/>
      </w:r>
      <w:r>
        <w:fldChar w:fldCharType="begin"/>
      </w:r>
      <w:r>
        <w:instrText xml:space="preserve"> PAGEREF _Toc35617604 \h </w:instrText>
      </w:r>
      <w:r>
        <w:fldChar w:fldCharType="separate"/>
      </w:r>
      <w:r>
        <w:t>2</w:t>
      </w:r>
      <w:r>
        <w:rPr>
          <w:rFonts w:hint="eastAsia"/>
        </w:rPr>
        <w:t>5</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"_Toc35617605" </w:instrText>
      </w:r>
      <w:r>
        <w:fldChar w:fldCharType="separate"/>
      </w:r>
      <w:r>
        <w:rPr>
          <w:rStyle w:val="41"/>
          <w:rFonts w:ascii="仿宋_GB2312" w:hAnsi="宋体" w:eastAsia="仿宋_GB2312"/>
          <w:b/>
        </w:rPr>
        <w:t>格式7：响应服务方案</w:t>
      </w:r>
      <w:r>
        <w:tab/>
      </w:r>
      <w:r>
        <w:fldChar w:fldCharType="begin"/>
      </w:r>
      <w:r>
        <w:instrText xml:space="preserve"> PAGEREF _Toc35617605 \h </w:instrText>
      </w:r>
      <w:r>
        <w:fldChar w:fldCharType="separate"/>
      </w:r>
      <w:r>
        <w:t>2</w:t>
      </w:r>
      <w:r>
        <w:rPr>
          <w:rFonts w:hint="eastAsia"/>
        </w:rPr>
        <w:t>6</w:t>
      </w:r>
      <w:r>
        <w:fldChar w:fldCharType="end"/>
      </w:r>
      <w:r>
        <w:fldChar w:fldCharType="end"/>
      </w:r>
    </w:p>
    <w:p>
      <w:pPr>
        <w:pStyle w:val="31"/>
        <w:tabs>
          <w:tab w:val="right" w:leader="dot" w:pos="9061"/>
        </w:tabs>
        <w:rPr>
          <w:rFonts w:ascii="Calibri" w:hAnsi="Calibri"/>
          <w:szCs w:val="22"/>
        </w:rPr>
      </w:pPr>
      <w:r>
        <w:fldChar w:fldCharType="begin"/>
      </w:r>
      <w:r>
        <w:instrText xml:space="preserve"> HYPERLINK \l "_Toc35617606" </w:instrText>
      </w:r>
      <w:r>
        <w:fldChar w:fldCharType="separate"/>
      </w:r>
      <w:r>
        <w:rPr>
          <w:rStyle w:val="41"/>
          <w:rFonts w:ascii="仿宋_GB2312" w:hAnsi="宋体" w:eastAsia="仿宋_GB2312"/>
          <w:b/>
        </w:rPr>
        <w:t>格式8：与采购人需求差异表</w:t>
      </w:r>
      <w:r>
        <w:tab/>
      </w:r>
      <w:r>
        <w:fldChar w:fldCharType="begin"/>
      </w:r>
      <w:r>
        <w:instrText xml:space="preserve"> PAGEREF _Toc35617606 \h </w:instrText>
      </w:r>
      <w:r>
        <w:fldChar w:fldCharType="separate"/>
      </w:r>
      <w:r>
        <w:t>2</w:t>
      </w:r>
      <w:r>
        <w:rPr>
          <w:rFonts w:hint="eastAsia"/>
        </w:rPr>
        <w:t>7</w:t>
      </w:r>
      <w:r>
        <w:fldChar w:fldCharType="end"/>
      </w:r>
      <w:r>
        <w:fldChar w:fldCharType="end"/>
      </w:r>
    </w:p>
    <w:p>
      <w:pPr>
        <w:pStyle w:val="31"/>
        <w:tabs>
          <w:tab w:val="right" w:leader="dot" w:pos="9061"/>
        </w:tabs>
        <w:rPr>
          <w:rFonts w:ascii="Calibri" w:hAnsi="Calibri"/>
          <w:szCs w:val="22"/>
        </w:rPr>
      </w:pPr>
    </w:p>
    <w:p>
      <w:pPr>
        <w:rPr>
          <w:b/>
        </w:rPr>
      </w:pPr>
      <w:r>
        <w:rPr>
          <w:b/>
          <w:bCs/>
          <w:lang w:val="zh-CN"/>
        </w:rPr>
        <w:fldChar w:fldCharType="end"/>
      </w:r>
    </w:p>
    <w:p>
      <w:pPr>
        <w:widowControl/>
        <w:jc w:val="left"/>
        <w:sectPr>
          <w:footerReference r:id="rId3" w:type="first"/>
          <w:pgSz w:w="11907" w:h="16840"/>
          <w:pgMar w:top="1418" w:right="1418" w:bottom="1418" w:left="1418" w:header="794" w:footer="794" w:gutter="0"/>
          <w:pgNumType w:start="1"/>
          <w:cols w:space="720" w:num="1"/>
          <w:titlePg/>
          <w:docGrid w:linePitch="286" w:charSpace="0"/>
        </w:sectPr>
      </w:pPr>
      <w:r>
        <w:br w:type="page"/>
      </w:r>
    </w:p>
    <w:p>
      <w:pPr>
        <w:widowControl/>
        <w:jc w:val="left"/>
      </w:pPr>
    </w:p>
    <w:p/>
    <w:p>
      <w:pPr>
        <w:pStyle w:val="2"/>
        <w:keepLines w:val="0"/>
        <w:spacing w:before="0" w:after="0" w:line="360" w:lineRule="auto"/>
        <w:ind w:right="-441" w:rightChars="-210"/>
        <w:jc w:val="center"/>
        <w:rPr>
          <w:rFonts w:ascii="方正小标宋简体" w:hAnsi="宋体" w:eastAsia="方正小标宋简体" w:cs="Tahoma"/>
          <w:b w:val="0"/>
          <w:spacing w:val="20"/>
          <w:sz w:val="32"/>
          <w:szCs w:val="32"/>
        </w:rPr>
      </w:pPr>
      <w:bookmarkStart w:id="1" w:name="_Toc35617558"/>
      <w:r>
        <w:rPr>
          <w:rFonts w:hint="eastAsia" w:ascii="方正小标宋简体" w:hAnsi="宋体" w:eastAsia="方正小标宋简体" w:cs="Tahoma"/>
          <w:b w:val="0"/>
          <w:spacing w:val="20"/>
          <w:sz w:val="36"/>
          <w:szCs w:val="32"/>
        </w:rPr>
        <w:t>第一章 竞选邀请</w:t>
      </w:r>
      <w:bookmarkEnd w:id="0"/>
      <w:r>
        <w:rPr>
          <w:rFonts w:hint="eastAsia" w:ascii="方正小标宋简体" w:hAnsi="宋体" w:eastAsia="方正小标宋简体" w:cs="Tahoma"/>
          <w:b w:val="0"/>
          <w:spacing w:val="20"/>
          <w:sz w:val="36"/>
          <w:szCs w:val="32"/>
        </w:rPr>
        <w:t>书</w:t>
      </w:r>
      <w:bookmarkEnd w:id="1"/>
    </w:p>
    <w:p>
      <w:pPr>
        <w:pStyle w:val="18"/>
        <w:snapToGrid w:val="0"/>
        <w:spacing w:before="120" w:line="360" w:lineRule="auto"/>
        <w:ind w:firstLine="0"/>
        <w:outlineLvl w:val="1"/>
        <w:rPr>
          <w:rFonts w:ascii="仿宋_GB2312" w:eastAsia="仿宋_GB2312" w:cs="Tahoma"/>
          <w:b/>
          <w:sz w:val="32"/>
          <w:szCs w:val="28"/>
        </w:rPr>
      </w:pPr>
      <w:bookmarkStart w:id="2" w:name="_Toc35617559"/>
      <w:r>
        <w:rPr>
          <w:rFonts w:hint="eastAsia" w:ascii="仿宋_GB2312" w:eastAsia="仿宋_GB2312" w:cs="Tahoma"/>
          <w:b/>
          <w:sz w:val="32"/>
          <w:szCs w:val="28"/>
        </w:rPr>
        <w:t>1.</w:t>
      </w:r>
      <w:r>
        <w:rPr>
          <w:rFonts w:hint="eastAsia" w:ascii="仿宋_GB2312" w:eastAsia="仿宋_GB2312" w:cs="Arial"/>
          <w:b/>
          <w:sz w:val="32"/>
          <w:szCs w:val="28"/>
        </w:rPr>
        <w:t>采购</w:t>
      </w:r>
      <w:r>
        <w:rPr>
          <w:rFonts w:hint="eastAsia" w:ascii="仿宋_GB2312" w:eastAsia="仿宋_GB2312" w:cs="Tahoma"/>
          <w:b/>
          <w:sz w:val="32"/>
          <w:szCs w:val="28"/>
        </w:rPr>
        <w:t>项目简介</w:t>
      </w:r>
      <w:bookmarkEnd w:id="2"/>
    </w:p>
    <w:p>
      <w:pPr>
        <w:spacing w:line="360" w:lineRule="auto"/>
        <w:ind w:left="1960" w:hanging="1960" w:hangingChars="700"/>
        <w:rPr>
          <w:rFonts w:ascii="仿宋_GB2312" w:hAnsi="宋体" w:eastAsia="仿宋_GB2312" w:cs="Tahoma"/>
          <w:sz w:val="28"/>
          <w:szCs w:val="28"/>
        </w:rPr>
      </w:pPr>
      <w:r>
        <w:rPr>
          <w:rFonts w:hint="eastAsia" w:ascii="仿宋_GB2312" w:hAnsi="宋体" w:eastAsia="仿宋_GB2312" w:cs="Tahoma"/>
          <w:sz w:val="28"/>
          <w:szCs w:val="28"/>
        </w:rPr>
        <w:t>1.1 项目名称</w:t>
      </w:r>
      <w:r>
        <w:rPr>
          <w:rFonts w:hint="eastAsia" w:ascii="仿宋_GB2312" w:hAnsi="宋体" w:eastAsia="仿宋_GB2312" w:cs="Tahoma"/>
          <w:kern w:val="28"/>
          <w:sz w:val="28"/>
          <w:szCs w:val="28"/>
        </w:rPr>
        <w:t>：</w:t>
      </w:r>
      <w:r>
        <w:rPr>
          <w:rFonts w:hint="eastAsia" w:ascii="仿宋_GB2312" w:hAnsi="宋体" w:eastAsia="仿宋_GB2312" w:cs="Tahoma"/>
          <w:sz w:val="28"/>
          <w:szCs w:val="28"/>
        </w:rPr>
        <w:t>广检检测技术（上海）有限公司202</w:t>
      </w:r>
      <w:r>
        <w:rPr>
          <w:rFonts w:hint="eastAsia" w:ascii="仿宋_GB2312" w:hAnsi="宋体" w:eastAsia="仿宋_GB2312" w:cs="Tahoma"/>
          <w:sz w:val="28"/>
          <w:szCs w:val="28"/>
          <w:lang w:val="en-US" w:eastAsia="zh-CN"/>
        </w:rPr>
        <w:t>4</w:t>
      </w:r>
      <w:r>
        <w:rPr>
          <w:rFonts w:hint="eastAsia" w:ascii="仿宋_GB2312" w:hAnsi="宋体" w:eastAsia="仿宋_GB2312" w:cs="Tahoma"/>
          <w:sz w:val="28"/>
          <w:szCs w:val="28"/>
        </w:rPr>
        <w:t>年第一批竞选采购工作餐配送项目</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1.2 项目编号：</w:t>
      </w:r>
      <w:r>
        <w:rPr>
          <w:rFonts w:ascii="仿宋_GB2312" w:hAnsi="宋体" w:eastAsia="仿宋_GB2312" w:cs="Tahoma"/>
          <w:sz w:val="28"/>
          <w:szCs w:val="28"/>
        </w:rPr>
        <w:t>GJSH-</w:t>
      </w:r>
      <w:r>
        <w:rPr>
          <w:rFonts w:hint="eastAsia" w:ascii="仿宋_GB2312" w:hAnsi="宋体" w:eastAsia="仿宋_GB2312" w:cs="Tahoma"/>
          <w:sz w:val="28"/>
          <w:szCs w:val="28"/>
        </w:rPr>
        <w:t>202</w:t>
      </w:r>
      <w:r>
        <w:rPr>
          <w:rFonts w:hint="eastAsia" w:ascii="仿宋_GB2312" w:hAnsi="宋体" w:eastAsia="仿宋_GB2312" w:cs="Tahoma"/>
          <w:sz w:val="28"/>
          <w:szCs w:val="28"/>
          <w:lang w:val="en-US" w:eastAsia="zh-CN"/>
        </w:rPr>
        <w:t>4</w:t>
      </w:r>
      <w:r>
        <w:rPr>
          <w:rFonts w:hint="eastAsia" w:ascii="仿宋_GB2312" w:hAnsi="宋体" w:eastAsia="仿宋_GB2312" w:cs="Tahoma"/>
          <w:sz w:val="28"/>
          <w:szCs w:val="28"/>
        </w:rPr>
        <w:t>001</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1.3 采购人：广检检测技术（上海）有限公司</w:t>
      </w:r>
    </w:p>
    <w:p>
      <w:pPr>
        <w:spacing w:line="360" w:lineRule="auto"/>
        <w:rPr>
          <w:rFonts w:ascii="仿宋_GB2312" w:eastAsia="仿宋_GB2312"/>
          <w:bCs/>
          <w:sz w:val="28"/>
          <w:szCs w:val="28"/>
        </w:rPr>
      </w:pPr>
      <w:r>
        <w:rPr>
          <w:rFonts w:hint="eastAsia" w:ascii="仿宋_GB2312" w:hAnsi="宋体" w:eastAsia="仿宋_GB2312" w:cs="Tahoma"/>
          <w:sz w:val="28"/>
          <w:szCs w:val="28"/>
        </w:rPr>
        <w:t xml:space="preserve">1.4 </w:t>
      </w:r>
      <w:r>
        <w:rPr>
          <w:rFonts w:hint="eastAsia" w:ascii="仿宋_GB2312" w:eastAsia="仿宋_GB2312"/>
          <w:bCs/>
          <w:sz w:val="28"/>
          <w:szCs w:val="28"/>
        </w:rPr>
        <w:t>采购项目最高限价金额：95万元</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 xml:space="preserve">1.5 </w:t>
      </w:r>
      <w:r>
        <w:rPr>
          <w:rFonts w:hint="eastAsia" w:ascii="仿宋_GB2312" w:eastAsia="仿宋_GB2312"/>
          <w:bCs/>
          <w:sz w:val="28"/>
          <w:szCs w:val="28"/>
        </w:rPr>
        <w:t>采购数量：一批</w:t>
      </w:r>
    </w:p>
    <w:p>
      <w:pPr>
        <w:spacing w:line="360" w:lineRule="auto"/>
        <w:rPr>
          <w:rFonts w:ascii="仿宋_GB2312" w:eastAsia="仿宋_GB2312"/>
          <w:bCs/>
          <w:sz w:val="28"/>
          <w:szCs w:val="28"/>
        </w:rPr>
      </w:pPr>
      <w:r>
        <w:rPr>
          <w:rFonts w:hint="eastAsia" w:ascii="仿宋_GB2312" w:hAnsi="宋体" w:eastAsia="仿宋_GB2312" w:cs="Tahoma"/>
          <w:sz w:val="28"/>
          <w:szCs w:val="28"/>
        </w:rPr>
        <w:t xml:space="preserve">1.6 </w:t>
      </w:r>
      <w:r>
        <w:rPr>
          <w:rFonts w:hint="eastAsia" w:ascii="仿宋_GB2312" w:eastAsia="仿宋_GB2312"/>
          <w:bCs/>
          <w:sz w:val="28"/>
          <w:szCs w:val="28"/>
        </w:rPr>
        <w:t>采购项目内容及需求：</w:t>
      </w:r>
    </w:p>
    <w:tbl>
      <w:tblPr>
        <w:tblStyle w:val="36"/>
        <w:tblpPr w:leftFromText="180" w:rightFromText="180" w:vertAnchor="text" w:horzAnchor="page" w:tblpX="1490" w:tblpY="360"/>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230"/>
        <w:gridCol w:w="1749"/>
        <w:gridCol w:w="4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67" w:type="pc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包组</w:t>
            </w:r>
          </w:p>
        </w:tc>
        <w:tc>
          <w:tcPr>
            <w:tcW w:w="1179" w:type="pc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采购内容</w:t>
            </w:r>
          </w:p>
        </w:tc>
        <w:tc>
          <w:tcPr>
            <w:tcW w:w="925" w:type="pc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采购预算</w:t>
            </w:r>
          </w:p>
        </w:tc>
        <w:tc>
          <w:tcPr>
            <w:tcW w:w="2327" w:type="pc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单价最高套餐限价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67" w:type="pct"/>
            <w:shd w:val="clear" w:color="auto" w:fill="auto"/>
            <w:vAlign w:val="center"/>
          </w:tcPr>
          <w:p>
            <w:pPr>
              <w:jc w:val="center"/>
              <w:rPr>
                <w:rFonts w:ascii="仿宋_GB2312" w:hAnsi="宋体" w:eastAsia="仿宋_GB2312"/>
                <w:b/>
                <w:sz w:val="24"/>
                <w:szCs w:val="28"/>
              </w:rPr>
            </w:pPr>
            <w:r>
              <w:rPr>
                <w:rFonts w:hint="eastAsia" w:ascii="仿宋_GB2312" w:hAnsi="宋体" w:eastAsia="仿宋_GB2312"/>
                <w:b/>
                <w:sz w:val="24"/>
                <w:szCs w:val="28"/>
              </w:rPr>
              <w:t xml:space="preserve">包组一 </w:t>
            </w:r>
          </w:p>
        </w:tc>
        <w:tc>
          <w:tcPr>
            <w:tcW w:w="1179" w:type="pct"/>
            <w:shd w:val="clear" w:color="auto" w:fill="auto"/>
            <w:vAlign w:val="center"/>
          </w:tcPr>
          <w:p>
            <w:pPr>
              <w:jc w:val="center"/>
              <w:rPr>
                <w:rFonts w:ascii="仿宋_GB2312" w:eastAsia="仿宋_GB2312"/>
                <w:color w:val="000000"/>
                <w:kern w:val="0"/>
                <w:sz w:val="22"/>
                <w:szCs w:val="22"/>
              </w:rPr>
            </w:pPr>
            <w:r>
              <w:rPr>
                <w:rFonts w:hint="eastAsia" w:ascii="仿宋_GB2312" w:hAnsi="宋体" w:eastAsia="仿宋_GB2312"/>
                <w:sz w:val="24"/>
                <w:szCs w:val="28"/>
              </w:rPr>
              <w:t>早餐+午餐+晚餐</w:t>
            </w:r>
          </w:p>
        </w:tc>
        <w:tc>
          <w:tcPr>
            <w:tcW w:w="925" w:type="pct"/>
            <w:shd w:val="clear" w:color="auto" w:fill="auto"/>
            <w:vAlign w:val="center"/>
          </w:tcPr>
          <w:p>
            <w:pPr>
              <w:jc w:val="center"/>
              <w:rPr>
                <w:rFonts w:ascii="仿宋_GB2312" w:eastAsia="仿宋_GB2312"/>
                <w:color w:val="000000"/>
                <w:kern w:val="0"/>
                <w:sz w:val="22"/>
                <w:szCs w:val="22"/>
              </w:rPr>
            </w:pPr>
            <w:r>
              <w:rPr>
                <w:rFonts w:hint="eastAsia" w:ascii="仿宋_GB2312" w:eastAsia="仿宋_GB2312"/>
                <w:color w:val="000000"/>
                <w:kern w:val="0"/>
                <w:sz w:val="22"/>
                <w:szCs w:val="22"/>
              </w:rPr>
              <w:t>95万元/年</w:t>
            </w:r>
          </w:p>
        </w:tc>
        <w:tc>
          <w:tcPr>
            <w:tcW w:w="2327" w:type="pct"/>
            <w:shd w:val="clear" w:color="auto" w:fill="auto"/>
            <w:vAlign w:val="center"/>
          </w:tcPr>
          <w:p>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早餐：13元/餐（含税）</w:t>
            </w:r>
          </w:p>
          <w:p>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午/晚餐：24元/餐（含税）</w:t>
            </w:r>
          </w:p>
        </w:tc>
      </w:tr>
    </w:tbl>
    <w:p>
      <w:pPr>
        <w:pStyle w:val="22"/>
        <w:tabs>
          <w:tab w:val="left" w:pos="420"/>
          <w:tab w:val="left" w:pos="540"/>
        </w:tabs>
        <w:adjustRightInd w:val="0"/>
        <w:snapToGrid w:val="0"/>
        <w:ind w:firstLine="0"/>
        <w:rPr>
          <w:rFonts w:ascii="仿宋_GB2312" w:hAnsi="宋体" w:eastAsia="仿宋_GB2312"/>
          <w:szCs w:val="28"/>
        </w:rPr>
      </w:pPr>
      <w:r>
        <w:rPr>
          <w:rFonts w:hint="eastAsia" w:ascii="仿宋_GB2312" w:hAnsi="宋体" w:eastAsia="仿宋_GB2312"/>
          <w:szCs w:val="28"/>
        </w:rPr>
        <w:t>备注：a.该采购费用最终以员工实际消费额为准。</w:t>
      </w:r>
    </w:p>
    <w:p>
      <w:pPr>
        <w:spacing w:line="360" w:lineRule="auto"/>
        <w:ind w:firstLine="720" w:firstLineChars="300"/>
        <w:rPr>
          <w:rFonts w:ascii="仿宋_GB2312" w:hAnsi="宋体" w:eastAsia="仿宋_GB2312"/>
          <w:sz w:val="24"/>
          <w:szCs w:val="28"/>
        </w:rPr>
      </w:pPr>
      <w:r>
        <w:rPr>
          <w:rFonts w:hint="eastAsia" w:ascii="仿宋_GB2312" w:hAnsi="宋体" w:eastAsia="仿宋_GB2312"/>
          <w:sz w:val="24"/>
          <w:szCs w:val="28"/>
        </w:rPr>
        <w:t>b.采购项目的详细内容及执行标准详见采购人需求。</w:t>
      </w:r>
    </w:p>
    <w:p>
      <w:pPr>
        <w:spacing w:line="360" w:lineRule="auto"/>
        <w:ind w:firstLine="720" w:firstLineChars="300"/>
        <w:rPr>
          <w:rFonts w:ascii="仿宋_GB2312" w:hAnsi="宋体" w:eastAsia="仿宋_GB2312"/>
          <w:sz w:val="24"/>
          <w:szCs w:val="28"/>
        </w:rPr>
      </w:pPr>
      <w:r>
        <w:rPr>
          <w:rFonts w:hint="eastAsia" w:ascii="仿宋_GB2312" w:hAnsi="宋体" w:eastAsia="仿宋_GB2312"/>
          <w:sz w:val="24"/>
          <w:szCs w:val="28"/>
        </w:rPr>
        <w:t>c.采购期限为：1年，合同期满前三个月，采购方对响应人进行综合评价打分，分数达90分，可续签合同，合同最高期限为2年，若分数低于90分，则重新在此次参与竞选排名前三的合格响应人中选定供应商进行合同签订。</w:t>
      </w:r>
    </w:p>
    <w:p>
      <w:pPr>
        <w:pStyle w:val="18"/>
        <w:snapToGrid w:val="0"/>
        <w:spacing w:before="120" w:line="360" w:lineRule="auto"/>
        <w:ind w:firstLine="0"/>
        <w:outlineLvl w:val="1"/>
        <w:rPr>
          <w:rFonts w:ascii="仿宋_GB2312" w:eastAsia="仿宋_GB2312" w:cs="Tahoma"/>
          <w:b/>
          <w:sz w:val="32"/>
          <w:szCs w:val="28"/>
        </w:rPr>
      </w:pPr>
      <w:bookmarkStart w:id="3" w:name="_Toc35617560"/>
      <w:r>
        <w:rPr>
          <w:rFonts w:hint="eastAsia" w:ascii="仿宋_GB2312" w:eastAsia="仿宋_GB2312" w:cs="Tahoma"/>
          <w:b/>
          <w:sz w:val="32"/>
          <w:szCs w:val="28"/>
        </w:rPr>
        <w:t>2.合格响应人资格要求</w:t>
      </w:r>
      <w:bookmarkEnd w:id="3"/>
    </w:p>
    <w:p>
      <w:pPr>
        <w:pStyle w:val="18"/>
        <w:snapToGrid w:val="0"/>
        <w:spacing w:line="360" w:lineRule="auto"/>
        <w:ind w:firstLine="0"/>
        <w:rPr>
          <w:rFonts w:ascii="仿宋_GB2312" w:eastAsia="仿宋_GB2312" w:cs="Tahoma"/>
          <w:szCs w:val="28"/>
        </w:rPr>
      </w:pPr>
      <w:r>
        <w:rPr>
          <w:rFonts w:hint="eastAsia" w:ascii="仿宋_GB2312" w:eastAsia="仿宋_GB2312" w:cs="Arial"/>
          <w:szCs w:val="28"/>
        </w:rPr>
        <w:t xml:space="preserve">    </w:t>
      </w:r>
      <w:r>
        <w:rPr>
          <w:rFonts w:hint="eastAsia" w:ascii="仿宋_GB2312" w:eastAsia="仿宋_GB2312"/>
          <w:szCs w:val="28"/>
        </w:rPr>
        <w:t>参加本项目的响应人除应具备《政府采购法》第二十二条响应人资格条件外，还必须符合下列要求：</w:t>
      </w:r>
    </w:p>
    <w:p>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2.1响应人必须是在中华人民共和国境内注册的具有独立承担民事责任能力的企业【提供营业执照、税务登记证（国税与地税）和组织机构代码证复印件（或三证合一证明）】；</w:t>
      </w:r>
    </w:p>
    <w:p>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2.2具有有效的《餐饮服务许可证》或《食品经营许可证》，提供有效期内的证书复印件;</w:t>
      </w:r>
    </w:p>
    <w:p>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2.3 本采购项目包组不接受联合体响应；</w:t>
      </w:r>
    </w:p>
    <w:p>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2.4 关于代理：本项目接受代理商响应。</w:t>
      </w:r>
    </w:p>
    <w:p>
      <w:pPr>
        <w:pStyle w:val="18"/>
        <w:snapToGrid w:val="0"/>
        <w:spacing w:before="120" w:line="360" w:lineRule="auto"/>
        <w:ind w:firstLine="0"/>
        <w:outlineLvl w:val="1"/>
        <w:rPr>
          <w:rFonts w:ascii="仿宋_GB2312" w:eastAsia="仿宋_GB2312" w:cs="Tahoma"/>
          <w:b/>
          <w:sz w:val="32"/>
          <w:szCs w:val="28"/>
        </w:rPr>
      </w:pPr>
      <w:bookmarkStart w:id="4" w:name="_Toc35617561"/>
      <w:r>
        <w:rPr>
          <w:rFonts w:hint="eastAsia" w:ascii="仿宋_GB2312" w:eastAsia="仿宋_GB2312" w:cs="Tahoma"/>
          <w:b/>
          <w:sz w:val="32"/>
          <w:szCs w:val="28"/>
        </w:rPr>
        <w:t>3.递交响应文件的时间及地点</w:t>
      </w:r>
      <w:bookmarkEnd w:id="4"/>
    </w:p>
    <w:p>
      <w:pPr>
        <w:spacing w:line="360" w:lineRule="auto"/>
        <w:rPr>
          <w:rFonts w:ascii="仿宋_GB2312" w:hAnsi="宋体" w:eastAsia="仿宋_GB2312"/>
          <w:sz w:val="28"/>
          <w:szCs w:val="28"/>
        </w:rPr>
      </w:pPr>
      <w:r>
        <w:rPr>
          <w:rFonts w:hint="eastAsia" w:ascii="仿宋_GB2312" w:hAnsi="宋体" w:eastAsia="仿宋_GB2312"/>
          <w:sz w:val="28"/>
          <w:szCs w:val="28"/>
        </w:rPr>
        <w:t>3.1 递交响应文件截止时间：202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8</w:t>
      </w:r>
      <w:r>
        <w:rPr>
          <w:rFonts w:hint="eastAsia" w:ascii="仿宋_GB2312" w:hAnsi="宋体" w:eastAsia="仿宋_GB2312"/>
          <w:sz w:val="28"/>
          <w:szCs w:val="28"/>
        </w:rPr>
        <w:t>日16:30前（北京时间）（实际递交响应文件截止时间根据广检集团宣传信息审批时间顺延5个工作日）；</w:t>
      </w:r>
    </w:p>
    <w:p>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3.2 递交响应文件地点：</w:t>
      </w:r>
      <w:r>
        <w:rPr>
          <w:rFonts w:ascii="仿宋_GB2312" w:hAnsi="宋体" w:eastAsia="仿宋_GB2312"/>
          <w:sz w:val="28"/>
          <w:szCs w:val="28"/>
        </w:rPr>
        <w:t>上海</w:t>
      </w:r>
      <w:r>
        <w:rPr>
          <w:rFonts w:hint="eastAsia" w:ascii="仿宋_GB2312" w:hAnsi="宋体" w:eastAsia="仿宋_GB2312"/>
          <w:sz w:val="28"/>
          <w:szCs w:val="28"/>
        </w:rPr>
        <w:t>市</w:t>
      </w:r>
      <w:r>
        <w:rPr>
          <w:rFonts w:ascii="仿宋_GB2312" w:hAnsi="宋体" w:eastAsia="仿宋_GB2312"/>
          <w:sz w:val="28"/>
          <w:szCs w:val="28"/>
        </w:rPr>
        <w:t>松江区鼎源路300号12号楼2楼</w:t>
      </w:r>
      <w:r>
        <w:rPr>
          <w:rFonts w:hint="eastAsia" w:ascii="仿宋_GB2312" w:hAnsi="宋体" w:eastAsia="仿宋_GB2312"/>
          <w:sz w:val="28"/>
          <w:szCs w:val="28"/>
        </w:rPr>
        <w:t>203综合部。</w:t>
      </w:r>
    </w:p>
    <w:p>
      <w:pPr>
        <w:pStyle w:val="18"/>
        <w:snapToGrid w:val="0"/>
        <w:spacing w:before="120" w:line="360" w:lineRule="auto"/>
        <w:ind w:firstLine="0"/>
        <w:outlineLvl w:val="1"/>
        <w:rPr>
          <w:rFonts w:ascii="仿宋_GB2312" w:eastAsia="仿宋_GB2312" w:cs="Tahoma"/>
          <w:b/>
          <w:sz w:val="32"/>
          <w:szCs w:val="28"/>
        </w:rPr>
      </w:pPr>
      <w:bookmarkStart w:id="5" w:name="_Toc35617562"/>
      <w:r>
        <w:rPr>
          <w:rFonts w:hint="eastAsia" w:ascii="仿宋_GB2312" w:eastAsia="仿宋_GB2312" w:cs="Tahoma"/>
          <w:b/>
          <w:sz w:val="32"/>
          <w:szCs w:val="28"/>
        </w:rPr>
        <w:t>4.评审时间及地点</w:t>
      </w:r>
      <w:bookmarkEnd w:id="5"/>
    </w:p>
    <w:p>
      <w:pPr>
        <w:pStyle w:val="33"/>
        <w:shd w:val="clear" w:color="auto" w:fill="F9FCFF"/>
        <w:spacing w:before="0" w:beforeAutospacing="0" w:after="0" w:afterAutospacing="0" w:line="360" w:lineRule="auto"/>
        <w:rPr>
          <w:rFonts w:ascii="仿宋_GB2312" w:eastAsia="仿宋_GB2312" w:cs="Times New Roman"/>
          <w:kern w:val="2"/>
          <w:sz w:val="28"/>
          <w:szCs w:val="28"/>
        </w:rPr>
      </w:pPr>
      <w:r>
        <w:rPr>
          <w:rFonts w:hint="eastAsia" w:ascii="仿宋_GB2312" w:eastAsia="仿宋_GB2312" w:cs="Times New Roman"/>
          <w:kern w:val="2"/>
          <w:sz w:val="28"/>
          <w:szCs w:val="28"/>
        </w:rPr>
        <w:t>4.1</w:t>
      </w:r>
      <w:r>
        <w:rPr>
          <w:rFonts w:ascii="仿宋_GB2312" w:eastAsia="仿宋_GB2312" w:cs="Times New Roman"/>
          <w:kern w:val="2"/>
          <w:sz w:val="28"/>
          <w:szCs w:val="28"/>
        </w:rPr>
        <w:t>评审时间：一般在截止递交报价文件后一周内完成评审</w:t>
      </w:r>
      <w:r>
        <w:rPr>
          <w:rFonts w:hint="eastAsia" w:ascii="仿宋_GB2312" w:eastAsia="仿宋_GB2312" w:cs="Times New Roman"/>
          <w:kern w:val="2"/>
          <w:sz w:val="28"/>
          <w:szCs w:val="28"/>
        </w:rPr>
        <w:t>；</w:t>
      </w:r>
    </w:p>
    <w:p>
      <w:pPr>
        <w:pStyle w:val="33"/>
        <w:shd w:val="clear" w:color="auto" w:fill="F9FCFF"/>
        <w:spacing w:before="0" w:beforeAutospacing="0" w:after="0" w:afterAutospacing="0" w:line="360" w:lineRule="auto"/>
        <w:rPr>
          <w:rFonts w:ascii="仿宋_GB2312" w:eastAsia="仿宋_GB2312" w:cs="Times New Roman"/>
          <w:kern w:val="2"/>
          <w:sz w:val="28"/>
          <w:szCs w:val="28"/>
        </w:rPr>
      </w:pPr>
      <w:r>
        <w:rPr>
          <w:rFonts w:hint="eastAsia" w:ascii="仿宋_GB2312" w:eastAsia="仿宋_GB2312" w:cs="Times New Roman"/>
          <w:kern w:val="2"/>
          <w:sz w:val="28"/>
          <w:szCs w:val="28"/>
        </w:rPr>
        <w:t>4.2</w:t>
      </w:r>
      <w:r>
        <w:rPr>
          <w:rFonts w:ascii="仿宋_GB2312" w:eastAsia="仿宋_GB2312" w:cs="Times New Roman"/>
          <w:kern w:val="2"/>
          <w:sz w:val="28"/>
          <w:szCs w:val="28"/>
        </w:rPr>
        <w:t>评审地点：</w:t>
      </w:r>
      <w:r>
        <w:rPr>
          <w:rFonts w:ascii="仿宋_GB2312" w:eastAsia="仿宋_GB2312"/>
          <w:sz w:val="28"/>
          <w:szCs w:val="28"/>
        </w:rPr>
        <w:t>上海</w:t>
      </w:r>
      <w:r>
        <w:rPr>
          <w:rFonts w:hint="eastAsia" w:ascii="仿宋_GB2312" w:eastAsia="仿宋_GB2312"/>
          <w:sz w:val="28"/>
          <w:szCs w:val="28"/>
        </w:rPr>
        <w:t>市</w:t>
      </w:r>
      <w:r>
        <w:rPr>
          <w:rFonts w:ascii="仿宋_GB2312" w:eastAsia="仿宋_GB2312"/>
          <w:sz w:val="28"/>
          <w:szCs w:val="28"/>
        </w:rPr>
        <w:t>松江区鼎源路300号12号楼</w:t>
      </w:r>
    </w:p>
    <w:p>
      <w:pPr>
        <w:pStyle w:val="18"/>
        <w:snapToGrid w:val="0"/>
        <w:spacing w:before="120" w:line="360" w:lineRule="auto"/>
        <w:ind w:firstLine="0"/>
        <w:outlineLvl w:val="1"/>
        <w:rPr>
          <w:rFonts w:ascii="仿宋_GB2312" w:eastAsia="仿宋_GB2312" w:cs="Tahoma"/>
          <w:b/>
          <w:sz w:val="32"/>
          <w:szCs w:val="28"/>
        </w:rPr>
      </w:pPr>
      <w:bookmarkStart w:id="6" w:name="_Toc35617563"/>
      <w:r>
        <w:rPr>
          <w:rFonts w:hint="eastAsia" w:ascii="仿宋_GB2312" w:eastAsia="仿宋_GB2312" w:cs="Tahoma"/>
          <w:b/>
          <w:sz w:val="32"/>
          <w:szCs w:val="28"/>
        </w:rPr>
        <w:t>5.采购人的名称、地址</w:t>
      </w:r>
      <w:bookmarkEnd w:id="6"/>
    </w:p>
    <w:p>
      <w:pPr>
        <w:spacing w:line="360" w:lineRule="auto"/>
        <w:rPr>
          <w:rFonts w:ascii="仿宋_GB2312" w:hAnsi="宋体" w:eastAsia="仿宋_GB2312"/>
          <w:sz w:val="28"/>
          <w:szCs w:val="28"/>
        </w:rPr>
      </w:pPr>
      <w:r>
        <w:rPr>
          <w:rFonts w:hint="eastAsia" w:ascii="仿宋_GB2312" w:hAnsi="宋体" w:eastAsia="仿宋_GB2312"/>
          <w:sz w:val="28"/>
          <w:szCs w:val="28"/>
        </w:rPr>
        <w:t>采购人名称：广检检测技术（上海）有限公司</w:t>
      </w:r>
    </w:p>
    <w:p>
      <w:pPr>
        <w:spacing w:line="360" w:lineRule="auto"/>
        <w:rPr>
          <w:rFonts w:ascii="仿宋_GB2312" w:hAnsi="宋体" w:eastAsia="仿宋_GB2312"/>
          <w:sz w:val="28"/>
          <w:szCs w:val="28"/>
        </w:rPr>
      </w:pPr>
      <w:r>
        <w:rPr>
          <w:rFonts w:hint="eastAsia" w:ascii="仿宋_GB2312" w:hAnsi="宋体" w:eastAsia="仿宋_GB2312"/>
          <w:sz w:val="28"/>
          <w:szCs w:val="28"/>
        </w:rPr>
        <w:t>采购人地址：</w:t>
      </w:r>
      <w:r>
        <w:rPr>
          <w:rFonts w:ascii="仿宋_GB2312" w:hAnsi="宋体" w:eastAsia="仿宋_GB2312"/>
          <w:sz w:val="28"/>
          <w:szCs w:val="28"/>
        </w:rPr>
        <w:t>上海</w:t>
      </w:r>
      <w:r>
        <w:rPr>
          <w:rFonts w:hint="eastAsia" w:ascii="仿宋_GB2312" w:hAnsi="宋体" w:eastAsia="仿宋_GB2312"/>
          <w:sz w:val="28"/>
          <w:szCs w:val="28"/>
        </w:rPr>
        <w:t>市</w:t>
      </w:r>
      <w:r>
        <w:rPr>
          <w:rFonts w:ascii="仿宋_GB2312" w:hAnsi="宋体" w:eastAsia="仿宋_GB2312"/>
          <w:sz w:val="28"/>
          <w:szCs w:val="28"/>
        </w:rPr>
        <w:t>松江区鼎源路300号12号楼</w:t>
      </w:r>
      <w:r>
        <w:rPr>
          <w:rFonts w:hint="eastAsia" w:ascii="仿宋_GB2312" w:hAnsi="宋体" w:eastAsia="仿宋_GB2312"/>
          <w:sz w:val="28"/>
          <w:szCs w:val="28"/>
        </w:rPr>
        <w:t>2楼203综合部</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联系人：高先生              </w:t>
      </w:r>
      <w:r>
        <w:rPr>
          <w:rFonts w:ascii="仿宋_GB2312" w:hAnsi="宋体" w:eastAsia="仿宋_GB2312"/>
          <w:sz w:val="28"/>
          <w:szCs w:val="28"/>
        </w:rPr>
        <w:t xml:space="preserve">  </w:t>
      </w:r>
      <w:r>
        <w:rPr>
          <w:rFonts w:hint="eastAsia" w:ascii="仿宋_GB2312" w:hAnsi="宋体" w:eastAsia="仿宋_GB2312"/>
          <w:sz w:val="28"/>
          <w:szCs w:val="28"/>
        </w:rPr>
        <w:t xml:space="preserve">电 </w:t>
      </w:r>
      <w:r>
        <w:rPr>
          <w:rFonts w:ascii="仿宋_GB2312" w:hAnsi="宋体" w:eastAsia="仿宋_GB2312"/>
          <w:sz w:val="28"/>
          <w:szCs w:val="28"/>
        </w:rPr>
        <w:t xml:space="preserve"> </w:t>
      </w:r>
      <w:r>
        <w:rPr>
          <w:rFonts w:hint="eastAsia" w:ascii="仿宋_GB2312" w:hAnsi="宋体" w:eastAsia="仿宋_GB2312"/>
          <w:sz w:val="28"/>
          <w:szCs w:val="28"/>
        </w:rPr>
        <w:t xml:space="preserve">话：021-67796820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邮 </w:t>
      </w:r>
      <w:r>
        <w:rPr>
          <w:rFonts w:ascii="仿宋_GB2312" w:hAnsi="宋体" w:eastAsia="仿宋_GB2312"/>
          <w:sz w:val="28"/>
          <w:szCs w:val="28"/>
        </w:rPr>
        <w:t xml:space="preserve"> </w:t>
      </w:r>
      <w:r>
        <w:rPr>
          <w:rFonts w:hint="eastAsia" w:ascii="仿宋_GB2312" w:hAnsi="宋体" w:eastAsia="仿宋_GB2312"/>
          <w:sz w:val="28"/>
          <w:szCs w:val="28"/>
        </w:rPr>
        <w:t>箱：gttc_Shanghai@163.com</w:t>
      </w:r>
    </w:p>
    <w:p>
      <w:pPr>
        <w:spacing w:line="360" w:lineRule="auto"/>
        <w:rPr>
          <w:rFonts w:ascii="宋体" w:hAnsi="宋体"/>
          <w:sz w:val="28"/>
          <w:szCs w:val="28"/>
        </w:rPr>
      </w:pPr>
    </w:p>
    <w:p>
      <w:pPr>
        <w:spacing w:line="360" w:lineRule="auto"/>
        <w:jc w:val="right"/>
        <w:rPr>
          <w:rFonts w:ascii="仿宋_GB2312" w:hAnsi="宋体" w:eastAsia="仿宋_GB2312"/>
          <w:sz w:val="28"/>
          <w:szCs w:val="28"/>
        </w:rPr>
      </w:pPr>
      <w:r>
        <w:rPr>
          <w:rFonts w:hint="eastAsia" w:ascii="仿宋_GB2312" w:hAnsi="宋体" w:eastAsia="仿宋_GB2312"/>
          <w:sz w:val="28"/>
          <w:szCs w:val="28"/>
        </w:rPr>
        <w:t>广检检测技术（上海）有限公司</w:t>
      </w:r>
    </w:p>
    <w:p>
      <w:pPr>
        <w:spacing w:line="360" w:lineRule="auto"/>
        <w:ind w:right="560"/>
        <w:jc w:val="center"/>
        <w:rPr>
          <w:rFonts w:ascii="仿宋_GB2312" w:hAnsi="宋体" w:eastAsia="仿宋_GB2312"/>
          <w:sz w:val="28"/>
          <w:szCs w:val="28"/>
        </w:rPr>
      </w:pPr>
      <w:r>
        <w:rPr>
          <w:rFonts w:hint="eastAsia" w:ascii="仿宋_GB2312" w:hAnsi="宋体" w:eastAsia="仿宋_GB2312"/>
          <w:sz w:val="28"/>
          <w:szCs w:val="28"/>
        </w:rPr>
        <w:t xml:space="preserve">                                           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月2</w:t>
      </w:r>
      <w:r>
        <w:rPr>
          <w:rFonts w:hint="eastAsia" w:ascii="仿宋_GB2312" w:hAnsi="宋体" w:eastAsia="仿宋_GB2312"/>
          <w:sz w:val="28"/>
          <w:szCs w:val="28"/>
          <w:lang w:val="en-US" w:eastAsia="zh-CN"/>
        </w:rPr>
        <w:t>6</w:t>
      </w:r>
      <w:r>
        <w:rPr>
          <w:rFonts w:hint="eastAsia" w:ascii="仿宋_GB2312" w:hAnsi="宋体" w:eastAsia="仿宋_GB2312"/>
          <w:sz w:val="28"/>
          <w:szCs w:val="28"/>
        </w:rPr>
        <w:t>日</w:t>
      </w:r>
    </w:p>
    <w:p>
      <w:pPr>
        <w:spacing w:line="360" w:lineRule="auto"/>
        <w:jc w:val="center"/>
        <w:rPr>
          <w:rFonts w:ascii="方正小标宋简体" w:hAnsi="宋体" w:eastAsia="方正小标宋简体" w:cs="Tahoma"/>
          <w:b/>
          <w:spacing w:val="20"/>
          <w:sz w:val="36"/>
          <w:szCs w:val="32"/>
        </w:rPr>
      </w:pPr>
      <w:r>
        <w:rPr>
          <w:rFonts w:hint="eastAsia" w:ascii="宋体" w:hAnsi="宋体"/>
          <w:sz w:val="28"/>
          <w:szCs w:val="28"/>
        </w:rPr>
        <w:t xml:space="preserve">    </w:t>
      </w:r>
      <w:r>
        <w:rPr>
          <w:rFonts w:ascii="宋体" w:hAnsi="宋体"/>
          <w:sz w:val="28"/>
          <w:szCs w:val="28"/>
        </w:rPr>
        <w:br w:type="page"/>
      </w:r>
      <w:bookmarkStart w:id="7" w:name="_Toc130180736"/>
      <w:bookmarkStart w:id="8" w:name="_Toc533236373"/>
      <w:bookmarkStart w:id="9" w:name="_Toc238282328"/>
      <w:bookmarkStart w:id="10" w:name="_Toc130180922"/>
      <w:bookmarkStart w:id="11" w:name="_Toc130180841"/>
      <w:r>
        <w:rPr>
          <w:rFonts w:hint="eastAsia" w:ascii="方正小标宋简体" w:hAnsi="宋体" w:eastAsia="方正小标宋简体" w:cs="Tahoma"/>
          <w:spacing w:val="20"/>
          <w:sz w:val="36"/>
          <w:szCs w:val="32"/>
        </w:rPr>
        <w:t>第二章 响应人须知</w:t>
      </w:r>
      <w:bookmarkEnd w:id="7"/>
      <w:bookmarkEnd w:id="8"/>
      <w:bookmarkEnd w:id="9"/>
      <w:bookmarkEnd w:id="10"/>
      <w:bookmarkEnd w:id="11"/>
    </w:p>
    <w:p>
      <w:pPr>
        <w:pStyle w:val="4"/>
        <w:keepLines/>
        <w:spacing w:after="260" w:line="400" w:lineRule="exact"/>
        <w:rPr>
          <w:rFonts w:ascii="仿宋_GB2312" w:eastAsia="仿宋_GB2312"/>
          <w:bCs w:val="0"/>
          <w:sz w:val="32"/>
          <w:szCs w:val="28"/>
        </w:rPr>
      </w:pPr>
      <w:bookmarkStart w:id="12" w:name="_Toc225565941"/>
      <w:bookmarkStart w:id="13" w:name="_Toc49135195"/>
      <w:bookmarkStart w:id="14" w:name="_Toc533236374"/>
      <w:bookmarkStart w:id="15" w:name="_Toc185747578"/>
      <w:bookmarkStart w:id="16" w:name="_Toc223939092"/>
      <w:bookmarkStart w:id="17" w:name="_Toc35617564"/>
      <w:bookmarkStart w:id="18" w:name="_Toc228644966"/>
      <w:bookmarkStart w:id="19" w:name="_Toc224435714"/>
      <w:bookmarkStart w:id="20" w:name="_Toc334797730"/>
      <w:bookmarkStart w:id="21" w:name="_Toc228899495"/>
      <w:bookmarkStart w:id="22" w:name="_Toc238282329"/>
      <w:bookmarkStart w:id="23" w:name="_Toc49082409"/>
      <w:r>
        <w:rPr>
          <w:rFonts w:hint="eastAsia" w:ascii="仿宋_GB2312" w:eastAsia="仿宋_GB2312"/>
          <w:bCs w:val="0"/>
          <w:sz w:val="32"/>
          <w:szCs w:val="28"/>
        </w:rPr>
        <w:t>1.总体说明</w:t>
      </w:r>
      <w:bookmarkEnd w:id="12"/>
      <w:bookmarkEnd w:id="13"/>
      <w:bookmarkEnd w:id="14"/>
      <w:bookmarkEnd w:id="15"/>
      <w:bookmarkEnd w:id="16"/>
      <w:bookmarkEnd w:id="17"/>
      <w:bookmarkEnd w:id="18"/>
      <w:bookmarkEnd w:id="19"/>
      <w:bookmarkEnd w:id="20"/>
      <w:bookmarkEnd w:id="21"/>
      <w:bookmarkEnd w:id="22"/>
      <w:bookmarkEnd w:id="23"/>
    </w:p>
    <w:p>
      <w:pPr>
        <w:spacing w:line="360" w:lineRule="auto"/>
        <w:outlineLvl w:val="2"/>
        <w:rPr>
          <w:rFonts w:ascii="仿宋_GB2312" w:hAnsi="宋体" w:eastAsia="仿宋_GB2312"/>
          <w:b/>
          <w:bCs/>
          <w:sz w:val="28"/>
          <w:szCs w:val="28"/>
        </w:rPr>
      </w:pPr>
      <w:bookmarkStart w:id="24" w:name="_Toc35617565"/>
      <w:r>
        <w:rPr>
          <w:rFonts w:hint="eastAsia" w:ascii="仿宋_GB2312" w:hAnsi="宋体" w:eastAsia="仿宋_GB2312"/>
          <w:b/>
          <w:bCs/>
          <w:sz w:val="28"/>
          <w:szCs w:val="28"/>
        </w:rPr>
        <w:t>1.1 采购项目性质说明</w:t>
      </w:r>
      <w:bookmarkEnd w:id="24"/>
    </w:p>
    <w:p>
      <w:pPr>
        <w:spacing w:line="360" w:lineRule="auto"/>
        <w:rPr>
          <w:rFonts w:ascii="仿宋_GB2312" w:hAnsi="宋体" w:eastAsia="仿宋_GB2312"/>
          <w:sz w:val="28"/>
          <w:szCs w:val="28"/>
        </w:rPr>
      </w:pPr>
      <w:r>
        <w:rPr>
          <w:rFonts w:hint="eastAsia" w:ascii="仿宋_GB2312" w:hAnsi="宋体" w:eastAsia="仿宋_GB2312"/>
          <w:sz w:val="28"/>
          <w:szCs w:val="28"/>
        </w:rPr>
        <w:t>本次采购项目属广检检测技术（上海）有限公司邀请竞选采购。</w:t>
      </w:r>
    </w:p>
    <w:p>
      <w:pPr>
        <w:spacing w:line="360" w:lineRule="auto"/>
        <w:outlineLvl w:val="2"/>
        <w:rPr>
          <w:rFonts w:ascii="仿宋_GB2312" w:hAnsi="宋体" w:eastAsia="仿宋_GB2312"/>
          <w:b/>
          <w:bCs/>
          <w:sz w:val="28"/>
          <w:szCs w:val="28"/>
        </w:rPr>
      </w:pPr>
      <w:bookmarkStart w:id="25" w:name="_Toc35617566"/>
      <w:r>
        <w:rPr>
          <w:rFonts w:hint="eastAsia" w:ascii="仿宋_GB2312" w:hAnsi="宋体" w:eastAsia="仿宋_GB2312"/>
          <w:b/>
          <w:bCs/>
          <w:sz w:val="28"/>
          <w:szCs w:val="28"/>
        </w:rPr>
        <w:t>1.2 关于响应报价</w:t>
      </w:r>
      <w:bookmarkEnd w:id="25"/>
    </w:p>
    <w:p>
      <w:pPr>
        <w:spacing w:line="360" w:lineRule="auto"/>
        <w:ind w:left="840" w:hanging="840" w:hangingChars="300"/>
        <w:rPr>
          <w:rFonts w:ascii="仿宋_GB2312" w:hAnsi="宋体" w:eastAsia="仿宋_GB2312"/>
          <w:sz w:val="28"/>
          <w:szCs w:val="28"/>
        </w:rPr>
      </w:pPr>
      <w:bookmarkStart w:id="26" w:name="_Toc334797731"/>
      <w:bookmarkStart w:id="27" w:name="_Toc228644967"/>
      <w:bookmarkStart w:id="28" w:name="_Toc238282330"/>
      <w:bookmarkStart w:id="29" w:name="_Toc228899496"/>
      <w:bookmarkStart w:id="30" w:name="_Toc224435715"/>
      <w:bookmarkStart w:id="31" w:name="_Toc225565942"/>
      <w:bookmarkStart w:id="32" w:name="_Toc533236375"/>
      <w:r>
        <w:rPr>
          <w:rFonts w:hint="eastAsia" w:ascii="仿宋_GB2312" w:hAnsi="宋体" w:eastAsia="仿宋_GB2312"/>
          <w:sz w:val="28"/>
          <w:szCs w:val="28"/>
        </w:rPr>
        <w:t>1.2.1 响应人应根据采购文件中采购人需求的要求，对照响应报价表</w:t>
      </w:r>
      <w:bookmarkEnd w:id="26"/>
      <w:bookmarkEnd w:id="27"/>
      <w:bookmarkEnd w:id="28"/>
      <w:bookmarkEnd w:id="29"/>
      <w:bookmarkEnd w:id="30"/>
      <w:bookmarkEnd w:id="31"/>
      <w:r>
        <w:rPr>
          <w:rFonts w:hint="eastAsia" w:ascii="仿宋_GB2312" w:hAnsi="宋体" w:eastAsia="仿宋_GB2312"/>
          <w:sz w:val="28"/>
          <w:szCs w:val="28"/>
        </w:rPr>
        <w:t>对全部内容进行响应报价，如有缺漏或超出最高限价，将导致响应无效。</w:t>
      </w:r>
      <w:bookmarkEnd w:id="32"/>
    </w:p>
    <w:p>
      <w:pPr>
        <w:spacing w:line="360" w:lineRule="auto"/>
        <w:ind w:left="840" w:hanging="840" w:hangingChars="300"/>
        <w:rPr>
          <w:rFonts w:ascii="仿宋_GB2312" w:hAnsi="宋体" w:eastAsia="仿宋_GB2312"/>
          <w:sz w:val="28"/>
          <w:szCs w:val="28"/>
        </w:rPr>
      </w:pPr>
      <w:bookmarkStart w:id="33" w:name="_Toc334797732"/>
      <w:bookmarkStart w:id="34" w:name="_Toc533236376"/>
      <w:r>
        <w:rPr>
          <w:rFonts w:hint="eastAsia" w:ascii="仿宋_GB2312" w:hAnsi="宋体" w:eastAsia="仿宋_GB2312"/>
          <w:sz w:val="28"/>
          <w:szCs w:val="28"/>
        </w:rPr>
        <w:t>1.2.2 除非采购文件另有规定，响应价不是唯一的或不是固定不变的响应文件将被作为无效响应而予以拒绝。响应人所报的响应价在响应有效期及合同执行期间是固定不变的，响应人不得以任何理由予以变更。</w:t>
      </w:r>
      <w:bookmarkEnd w:id="33"/>
      <w:bookmarkEnd w:id="34"/>
    </w:p>
    <w:p>
      <w:pPr>
        <w:spacing w:line="360" w:lineRule="auto"/>
        <w:rPr>
          <w:rFonts w:ascii="仿宋_GB2312" w:hAnsi="宋体" w:eastAsia="仿宋_GB2312"/>
          <w:sz w:val="28"/>
          <w:szCs w:val="28"/>
        </w:rPr>
      </w:pPr>
      <w:r>
        <w:rPr>
          <w:rFonts w:hint="eastAsia" w:ascii="仿宋_GB2312" w:hAnsi="宋体" w:eastAsia="仿宋_GB2312"/>
          <w:sz w:val="28"/>
          <w:szCs w:val="28"/>
        </w:rPr>
        <w:t>1.2.3 不允许有备选方案，否则将被视为无效响应。</w:t>
      </w:r>
    </w:p>
    <w:p>
      <w:pPr>
        <w:spacing w:line="360" w:lineRule="auto"/>
        <w:rPr>
          <w:rFonts w:ascii="仿宋_GB2312" w:eastAsia="仿宋_GB2312"/>
          <w:sz w:val="28"/>
          <w:szCs w:val="28"/>
        </w:rPr>
      </w:pPr>
      <w:r>
        <w:rPr>
          <w:rFonts w:hint="eastAsia" w:ascii="仿宋_GB2312" w:hAnsi="宋体" w:eastAsia="仿宋_GB2312"/>
          <w:sz w:val="28"/>
          <w:szCs w:val="28"/>
        </w:rPr>
        <w:t>1.2.4 不允许附加条件报价，</w:t>
      </w:r>
      <w:r>
        <w:rPr>
          <w:rFonts w:hint="eastAsia" w:ascii="仿宋_GB2312" w:hAnsi="宋体" w:eastAsia="仿宋_GB2312" w:cs="宋体"/>
          <w:sz w:val="28"/>
          <w:szCs w:val="28"/>
        </w:rPr>
        <w:t>否则将被视为无效响应。</w:t>
      </w:r>
    </w:p>
    <w:p>
      <w:pPr>
        <w:spacing w:line="360" w:lineRule="auto"/>
        <w:outlineLvl w:val="2"/>
        <w:rPr>
          <w:rFonts w:ascii="仿宋_GB2312" w:hAnsi="宋体" w:eastAsia="仿宋_GB2312"/>
          <w:sz w:val="28"/>
          <w:szCs w:val="28"/>
        </w:rPr>
      </w:pPr>
      <w:bookmarkStart w:id="35" w:name="_Toc35617567"/>
      <w:r>
        <w:rPr>
          <w:rFonts w:hint="eastAsia" w:ascii="仿宋_GB2312" w:hAnsi="宋体" w:eastAsia="仿宋_GB2312"/>
          <w:b/>
          <w:bCs/>
          <w:sz w:val="28"/>
          <w:szCs w:val="28"/>
        </w:rPr>
        <w:t>1.3 适用范围</w:t>
      </w:r>
      <w:bookmarkEnd w:id="35"/>
    </w:p>
    <w:p>
      <w:pPr>
        <w:spacing w:line="360" w:lineRule="auto"/>
        <w:rPr>
          <w:rFonts w:ascii="仿宋_GB2312" w:hAnsi="宋体" w:eastAsia="仿宋_GB2312"/>
          <w:sz w:val="28"/>
          <w:szCs w:val="28"/>
        </w:rPr>
      </w:pPr>
      <w:r>
        <w:rPr>
          <w:rFonts w:hint="eastAsia" w:ascii="仿宋_GB2312" w:hAnsi="宋体" w:eastAsia="仿宋_GB2312"/>
          <w:sz w:val="28"/>
          <w:szCs w:val="28"/>
        </w:rPr>
        <w:t>本采购文件仅适用于本采购文件响应邀请中所叙述的响应内容。</w:t>
      </w:r>
    </w:p>
    <w:p>
      <w:pPr>
        <w:spacing w:line="360" w:lineRule="auto"/>
        <w:outlineLvl w:val="2"/>
        <w:rPr>
          <w:rFonts w:ascii="仿宋_GB2312" w:hAnsi="宋体" w:eastAsia="仿宋_GB2312"/>
          <w:b/>
          <w:bCs/>
          <w:sz w:val="28"/>
          <w:szCs w:val="28"/>
        </w:rPr>
      </w:pPr>
      <w:bookmarkStart w:id="36" w:name="_Toc35617568"/>
      <w:r>
        <w:rPr>
          <w:rFonts w:hint="eastAsia" w:ascii="仿宋_GB2312" w:hAnsi="宋体" w:eastAsia="仿宋_GB2312"/>
          <w:b/>
          <w:bCs/>
          <w:sz w:val="28"/>
          <w:szCs w:val="28"/>
        </w:rPr>
        <w:t>1.4 评审方式</w:t>
      </w:r>
      <w:bookmarkEnd w:id="36"/>
    </w:p>
    <w:p>
      <w:pPr>
        <w:spacing w:line="360" w:lineRule="auto"/>
        <w:rPr>
          <w:rFonts w:ascii="仿宋_GB2312" w:hAnsi="宋体" w:eastAsia="仿宋_GB2312"/>
          <w:sz w:val="28"/>
          <w:szCs w:val="28"/>
        </w:rPr>
      </w:pPr>
      <w:r>
        <w:rPr>
          <w:rFonts w:hint="eastAsia" w:ascii="仿宋_GB2312" w:hAnsi="宋体" w:eastAsia="仿宋_GB2312"/>
          <w:sz w:val="28"/>
          <w:szCs w:val="28"/>
        </w:rPr>
        <w:t>本项目评审采用综合评分法。</w:t>
      </w:r>
    </w:p>
    <w:p>
      <w:pPr>
        <w:spacing w:line="360" w:lineRule="auto"/>
        <w:outlineLvl w:val="2"/>
        <w:rPr>
          <w:rFonts w:ascii="仿宋_GB2312" w:hAnsi="宋体" w:eastAsia="仿宋_GB2312"/>
          <w:b/>
          <w:bCs/>
          <w:sz w:val="28"/>
          <w:szCs w:val="28"/>
        </w:rPr>
      </w:pPr>
      <w:bookmarkStart w:id="37" w:name="_Toc35617569"/>
      <w:r>
        <w:rPr>
          <w:rFonts w:hint="eastAsia" w:ascii="仿宋_GB2312" w:hAnsi="宋体" w:eastAsia="仿宋_GB2312"/>
          <w:b/>
          <w:bCs/>
          <w:sz w:val="28"/>
          <w:szCs w:val="28"/>
        </w:rPr>
        <w:t>1.5 合格的响应人</w:t>
      </w:r>
      <w:bookmarkEnd w:id="37"/>
    </w:p>
    <w:p>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1.5.1具有符合竞选邀请书中合格响应人资格要求；</w:t>
      </w:r>
    </w:p>
    <w:p>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1.5.2已在本项目报名的响应人。</w:t>
      </w:r>
    </w:p>
    <w:p>
      <w:pPr>
        <w:spacing w:line="360" w:lineRule="auto"/>
        <w:outlineLvl w:val="2"/>
        <w:rPr>
          <w:rFonts w:ascii="仿宋_GB2312" w:hAnsi="宋体" w:eastAsia="仿宋_GB2312"/>
          <w:b/>
          <w:bCs/>
          <w:sz w:val="28"/>
          <w:szCs w:val="28"/>
        </w:rPr>
      </w:pPr>
      <w:bookmarkStart w:id="38" w:name="_Toc35617570"/>
      <w:r>
        <w:rPr>
          <w:rFonts w:hint="eastAsia" w:ascii="仿宋_GB2312" w:hAnsi="宋体" w:eastAsia="仿宋_GB2312"/>
          <w:b/>
          <w:bCs/>
          <w:sz w:val="28"/>
          <w:szCs w:val="28"/>
        </w:rPr>
        <w:t>1.6 关于响应费用</w:t>
      </w:r>
      <w:bookmarkEnd w:id="38"/>
    </w:p>
    <w:p>
      <w:pPr>
        <w:spacing w:line="360" w:lineRule="auto"/>
        <w:rPr>
          <w:rFonts w:ascii="仿宋_GB2312" w:hAnsi="宋体" w:eastAsia="仿宋_GB2312"/>
          <w:b/>
          <w:bCs/>
          <w:sz w:val="28"/>
          <w:szCs w:val="28"/>
        </w:rPr>
      </w:pPr>
      <w:r>
        <w:rPr>
          <w:rFonts w:hint="eastAsia" w:ascii="仿宋_GB2312" w:hAnsi="宋体" w:eastAsia="仿宋_GB2312"/>
          <w:sz w:val="28"/>
          <w:szCs w:val="28"/>
        </w:rPr>
        <w:t>响应人应承担所有与其参加响应有关的全部费用。</w:t>
      </w:r>
    </w:p>
    <w:p>
      <w:pPr>
        <w:spacing w:line="360" w:lineRule="auto"/>
        <w:outlineLvl w:val="2"/>
        <w:rPr>
          <w:rFonts w:ascii="仿宋_GB2312" w:hAnsi="宋体" w:eastAsia="仿宋_GB2312"/>
          <w:b/>
          <w:bCs/>
          <w:sz w:val="28"/>
          <w:szCs w:val="28"/>
        </w:rPr>
      </w:pPr>
      <w:bookmarkStart w:id="39" w:name="_Toc35617571"/>
      <w:r>
        <w:rPr>
          <w:rFonts w:hint="eastAsia" w:ascii="仿宋_GB2312" w:hAnsi="宋体" w:eastAsia="仿宋_GB2312"/>
          <w:b/>
          <w:bCs/>
          <w:sz w:val="28"/>
          <w:szCs w:val="28"/>
        </w:rPr>
        <w:t>1.7 合格的送餐服务</w:t>
      </w:r>
      <w:bookmarkEnd w:id="39"/>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1.7.1餐饮服务商应确保食品的安全供应及突发应急事件能得到有效控制和处理。餐饮服务商应提供公司现有的工商执照、卫生许可证和员工健康证，保证各环节符合政府有关的食品卫生安全法律、法规的规定。</w:t>
      </w:r>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1.7.2</w:t>
      </w:r>
      <w:r>
        <w:rPr>
          <w:rFonts w:ascii="仿宋_GB2312" w:hAnsi="宋体" w:eastAsia="仿宋_GB2312"/>
          <w:sz w:val="28"/>
          <w:szCs w:val="28"/>
        </w:rPr>
        <w:t xml:space="preserve"> </w:t>
      </w:r>
      <w:r>
        <w:rPr>
          <w:rFonts w:hint="eastAsia" w:ascii="仿宋_GB2312" w:hAnsi="宋体" w:eastAsia="仿宋_GB2312"/>
          <w:sz w:val="28"/>
          <w:szCs w:val="28"/>
        </w:rPr>
        <w:t>服务是指响应人须承担的送餐以及邀请文件规定的其它伴随服务。</w:t>
      </w:r>
    </w:p>
    <w:p>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1.7.3 采购人有权拒绝接受不安全的食品服务。</w:t>
      </w:r>
    </w:p>
    <w:p>
      <w:pPr>
        <w:spacing w:line="360" w:lineRule="auto"/>
        <w:outlineLvl w:val="2"/>
        <w:rPr>
          <w:rFonts w:ascii="仿宋_GB2312" w:hAnsi="宋体" w:eastAsia="仿宋_GB2312"/>
          <w:b/>
          <w:bCs/>
          <w:sz w:val="28"/>
          <w:szCs w:val="28"/>
        </w:rPr>
      </w:pPr>
      <w:bookmarkStart w:id="40" w:name="_Toc35617572"/>
      <w:r>
        <w:rPr>
          <w:rFonts w:hint="eastAsia" w:ascii="仿宋_GB2312" w:hAnsi="宋体" w:eastAsia="仿宋_GB2312"/>
          <w:b/>
          <w:bCs/>
          <w:sz w:val="28"/>
          <w:szCs w:val="28"/>
        </w:rPr>
        <w:t>1.8 禁止事项</w:t>
      </w:r>
      <w:bookmarkEnd w:id="40"/>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1.8.1采购人和响应人不得相互串通，损害国家利益，社会公共利益和其他当事人的合法权益；不得以任何手段排斥其他响应人参与竞争。</w:t>
      </w:r>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1.8.2响应人不得向采购人、项目采购评审小组成员行贿或者采取其他不正当手段谋取成交。</w:t>
      </w:r>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1.8.3除响应人质疑和投诉外，从评审之时起至授予合同止，响应人不得就与其响应有关的事项主动与项目采购评审小组成员、采购人接触。</w:t>
      </w:r>
    </w:p>
    <w:p>
      <w:pPr>
        <w:tabs>
          <w:tab w:val="left" w:pos="735"/>
          <w:tab w:val="left" w:pos="1164"/>
        </w:tabs>
        <w:spacing w:line="336" w:lineRule="auto"/>
        <w:rPr>
          <w:rFonts w:ascii="仿宋_GB2312" w:hAnsi="宋体" w:eastAsia="仿宋_GB2312"/>
          <w:sz w:val="28"/>
          <w:szCs w:val="28"/>
        </w:rPr>
      </w:pPr>
      <w:r>
        <w:rPr>
          <w:rFonts w:hint="eastAsia" w:ascii="仿宋_GB2312" w:hAnsi="宋体" w:eastAsia="仿宋_GB2312"/>
          <w:sz w:val="28"/>
          <w:szCs w:val="28"/>
        </w:rPr>
        <w:t>1.8.4《中华人民共和国政府采购法》及相关法规规定的其它禁止事项。</w:t>
      </w:r>
    </w:p>
    <w:p>
      <w:pPr>
        <w:spacing w:line="360" w:lineRule="auto"/>
        <w:outlineLvl w:val="2"/>
        <w:rPr>
          <w:rFonts w:ascii="仿宋_GB2312" w:hAnsi="宋体" w:eastAsia="仿宋_GB2312"/>
          <w:b/>
          <w:bCs/>
          <w:sz w:val="28"/>
          <w:szCs w:val="28"/>
        </w:rPr>
      </w:pPr>
      <w:bookmarkStart w:id="41" w:name="_Toc35617573"/>
      <w:r>
        <w:rPr>
          <w:rFonts w:hint="eastAsia" w:ascii="仿宋_GB2312" w:hAnsi="宋体" w:eastAsia="仿宋_GB2312"/>
          <w:b/>
          <w:bCs/>
          <w:sz w:val="28"/>
          <w:szCs w:val="28"/>
        </w:rPr>
        <w:t>1.9 保密事项</w:t>
      </w:r>
      <w:bookmarkEnd w:id="41"/>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pPr>
        <w:widowControl/>
        <w:ind w:firstLine="560"/>
        <w:jc w:val="left"/>
      </w:pPr>
      <w:r>
        <w:rPr>
          <w:rFonts w:ascii="仿宋_GB2312" w:hAnsi="宋体" w:eastAsia="仿宋_GB2312"/>
          <w:sz w:val="28"/>
          <w:szCs w:val="28"/>
        </w:rPr>
        <w:br w:type="page"/>
      </w:r>
      <w:bookmarkStart w:id="42" w:name="_Toc334797733"/>
      <w:bookmarkStart w:id="43" w:name="_Toc533236377"/>
    </w:p>
    <w:p>
      <w:pPr>
        <w:pStyle w:val="4"/>
        <w:keepLines/>
        <w:spacing w:before="260" w:after="260" w:line="400" w:lineRule="exact"/>
        <w:rPr>
          <w:rFonts w:ascii="仿宋_GB2312" w:eastAsia="仿宋_GB2312"/>
          <w:bCs w:val="0"/>
          <w:sz w:val="32"/>
          <w:szCs w:val="28"/>
        </w:rPr>
      </w:pPr>
      <w:bookmarkStart w:id="44" w:name="_Toc35617574"/>
      <w:r>
        <w:rPr>
          <w:rFonts w:hint="eastAsia" w:ascii="仿宋_GB2312" w:eastAsia="仿宋_GB2312"/>
          <w:bCs w:val="0"/>
          <w:sz w:val="32"/>
          <w:szCs w:val="28"/>
        </w:rPr>
        <w:t>2.采购文件</w:t>
      </w:r>
      <w:bookmarkEnd w:id="42"/>
      <w:bookmarkEnd w:id="43"/>
      <w:bookmarkEnd w:id="44"/>
    </w:p>
    <w:p>
      <w:pPr>
        <w:spacing w:line="360" w:lineRule="auto"/>
        <w:outlineLvl w:val="2"/>
        <w:rPr>
          <w:rFonts w:ascii="仿宋_GB2312" w:hAnsi="宋体" w:eastAsia="仿宋_GB2312"/>
          <w:b/>
          <w:bCs/>
          <w:sz w:val="28"/>
          <w:szCs w:val="28"/>
        </w:rPr>
      </w:pPr>
      <w:bookmarkStart w:id="45" w:name="_Toc35617575"/>
      <w:r>
        <w:rPr>
          <w:rFonts w:hint="eastAsia" w:ascii="仿宋_GB2312" w:hAnsi="宋体" w:eastAsia="仿宋_GB2312"/>
          <w:b/>
          <w:bCs/>
          <w:sz w:val="28"/>
          <w:szCs w:val="28"/>
        </w:rPr>
        <w:t>2.1 采购文件的组成</w:t>
      </w:r>
      <w:bookmarkEnd w:id="45"/>
    </w:p>
    <w:p>
      <w:pPr>
        <w:spacing w:line="360" w:lineRule="auto"/>
        <w:ind w:firstLine="560" w:firstLineChars="200"/>
        <w:rPr>
          <w:rFonts w:ascii="仿宋_GB2312" w:hAnsi="宋体" w:eastAsia="仿宋_GB2312"/>
          <w:b/>
          <w:bCs/>
          <w:sz w:val="28"/>
          <w:szCs w:val="28"/>
        </w:rPr>
      </w:pPr>
      <w:r>
        <w:rPr>
          <w:rFonts w:hint="eastAsia" w:ascii="仿宋_GB2312" w:hAnsi="宋体" w:eastAsia="仿宋_GB2312"/>
          <w:bCs/>
          <w:sz w:val="28"/>
          <w:szCs w:val="28"/>
        </w:rPr>
        <w:t>采购文件由</w:t>
      </w:r>
      <w:r>
        <w:rPr>
          <w:rFonts w:hint="eastAsia" w:ascii="仿宋_GB2312" w:hAnsi="宋体" w:eastAsia="仿宋_GB2312"/>
          <w:sz w:val="28"/>
          <w:szCs w:val="28"/>
        </w:rPr>
        <w:t>竞选邀请书</w:t>
      </w:r>
      <w:r>
        <w:rPr>
          <w:rFonts w:hint="eastAsia" w:ascii="仿宋_GB2312" w:hAnsi="宋体" w:eastAsia="仿宋_GB2312"/>
          <w:b/>
          <w:bCs/>
          <w:sz w:val="28"/>
          <w:szCs w:val="28"/>
        </w:rPr>
        <w:t>、</w:t>
      </w:r>
      <w:r>
        <w:rPr>
          <w:rFonts w:hint="eastAsia" w:ascii="仿宋_GB2312" w:hAnsi="宋体" w:eastAsia="仿宋_GB2312"/>
          <w:sz w:val="28"/>
          <w:szCs w:val="28"/>
        </w:rPr>
        <w:t>响应人须知</w:t>
      </w:r>
      <w:r>
        <w:rPr>
          <w:rFonts w:hint="eastAsia" w:ascii="仿宋_GB2312" w:hAnsi="宋体" w:eastAsia="仿宋_GB2312"/>
          <w:b/>
          <w:bCs/>
          <w:sz w:val="28"/>
          <w:szCs w:val="28"/>
        </w:rPr>
        <w:t>、</w:t>
      </w:r>
      <w:r>
        <w:rPr>
          <w:rFonts w:hint="eastAsia" w:ascii="仿宋_GB2312" w:hAnsi="宋体" w:eastAsia="仿宋_GB2312"/>
          <w:sz w:val="28"/>
          <w:szCs w:val="28"/>
        </w:rPr>
        <w:t>采购人需求</w:t>
      </w:r>
      <w:r>
        <w:rPr>
          <w:rFonts w:hint="eastAsia" w:ascii="仿宋_GB2312" w:hAnsi="宋体" w:eastAsia="仿宋_GB2312"/>
          <w:b/>
          <w:bCs/>
          <w:sz w:val="28"/>
          <w:szCs w:val="28"/>
        </w:rPr>
        <w:t>、</w:t>
      </w:r>
      <w:r>
        <w:rPr>
          <w:rFonts w:hint="eastAsia" w:ascii="仿宋_GB2312" w:hAnsi="宋体" w:eastAsia="仿宋_GB2312"/>
          <w:sz w:val="28"/>
          <w:szCs w:val="28"/>
        </w:rPr>
        <w:t>评审方式及程序</w:t>
      </w:r>
      <w:r>
        <w:rPr>
          <w:rFonts w:hint="eastAsia" w:ascii="仿宋_GB2312" w:hAnsi="宋体" w:eastAsia="仿宋_GB2312"/>
          <w:bCs/>
          <w:sz w:val="28"/>
          <w:szCs w:val="28"/>
        </w:rPr>
        <w:t>和</w:t>
      </w:r>
      <w:r>
        <w:rPr>
          <w:rFonts w:hint="eastAsia" w:ascii="仿宋_GB2312" w:hAnsi="宋体" w:eastAsia="仿宋_GB2312"/>
          <w:sz w:val="28"/>
          <w:szCs w:val="28"/>
        </w:rPr>
        <w:t>响应文件格式五部分内容组成。</w:t>
      </w:r>
    </w:p>
    <w:p>
      <w:pPr>
        <w:spacing w:line="360" w:lineRule="auto"/>
        <w:outlineLvl w:val="2"/>
        <w:rPr>
          <w:rFonts w:ascii="仿宋_GB2312" w:hAnsi="宋体" w:eastAsia="仿宋_GB2312"/>
          <w:b/>
          <w:bCs/>
          <w:sz w:val="28"/>
          <w:szCs w:val="28"/>
        </w:rPr>
      </w:pPr>
      <w:bookmarkStart w:id="46" w:name="_Toc35617576"/>
      <w:r>
        <w:rPr>
          <w:rFonts w:hint="eastAsia" w:ascii="仿宋_GB2312" w:hAnsi="宋体" w:eastAsia="仿宋_GB2312"/>
          <w:b/>
          <w:bCs/>
          <w:sz w:val="28"/>
          <w:szCs w:val="28"/>
        </w:rPr>
        <w:t>2.2 采购文件的补充和修改</w:t>
      </w:r>
      <w:bookmarkEnd w:id="46"/>
    </w:p>
    <w:p>
      <w:pPr>
        <w:tabs>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2.2.1 对采购文件进行必要的补充或修改，于评审前5天以书面形式通知所有符合条件的响应人，响应人在收到补充或修改通知后应立即以书面形式予以确认，在规定的时间内响应人不予书面确认的，视为已收到通知，该补充或修改的内容为采购文件的组成部分。</w:t>
      </w:r>
    </w:p>
    <w:p>
      <w:pPr>
        <w:tabs>
          <w:tab w:val="left" w:pos="0"/>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2.2.2采购过程中的一切修改文件或补充文件一旦确认后与采购文件具有同等法律效力，响应人有责任履行相应的义务。</w:t>
      </w:r>
    </w:p>
    <w:p>
      <w:pPr>
        <w:pStyle w:val="4"/>
        <w:keepLines/>
        <w:spacing w:before="260" w:after="260" w:line="400" w:lineRule="exact"/>
        <w:rPr>
          <w:rFonts w:ascii="仿宋_GB2312" w:eastAsia="仿宋_GB2312"/>
          <w:bCs w:val="0"/>
          <w:sz w:val="32"/>
          <w:szCs w:val="28"/>
        </w:rPr>
      </w:pPr>
      <w:bookmarkStart w:id="47" w:name="_Toc238282334"/>
      <w:bookmarkStart w:id="48" w:name="_Toc185747580"/>
      <w:bookmarkStart w:id="49" w:name="_Toc225565947"/>
      <w:bookmarkStart w:id="50" w:name="_Toc224435720"/>
      <w:bookmarkStart w:id="51" w:name="_Toc533236378"/>
      <w:bookmarkStart w:id="52" w:name="_Toc228899501"/>
      <w:bookmarkStart w:id="53" w:name="_Toc228644972"/>
      <w:bookmarkStart w:id="54" w:name="_Toc35617577"/>
      <w:bookmarkStart w:id="55" w:name="_Toc223939095"/>
      <w:bookmarkStart w:id="56" w:name="_Toc334797734"/>
      <w:r>
        <w:rPr>
          <w:rFonts w:hint="eastAsia" w:ascii="仿宋_GB2312" w:eastAsia="仿宋_GB2312"/>
          <w:bCs w:val="0"/>
          <w:sz w:val="32"/>
          <w:szCs w:val="28"/>
        </w:rPr>
        <w:t>3.响应文件</w:t>
      </w:r>
      <w:bookmarkEnd w:id="47"/>
      <w:bookmarkEnd w:id="48"/>
      <w:bookmarkEnd w:id="49"/>
      <w:bookmarkEnd w:id="50"/>
      <w:bookmarkEnd w:id="51"/>
      <w:bookmarkEnd w:id="52"/>
      <w:bookmarkEnd w:id="53"/>
      <w:bookmarkEnd w:id="54"/>
      <w:bookmarkEnd w:id="55"/>
      <w:bookmarkEnd w:id="56"/>
    </w:p>
    <w:p>
      <w:pPr>
        <w:spacing w:line="360" w:lineRule="auto"/>
        <w:outlineLvl w:val="2"/>
        <w:rPr>
          <w:rFonts w:ascii="仿宋_GB2312" w:hAnsi="宋体" w:eastAsia="仿宋_GB2312"/>
          <w:b/>
          <w:bCs/>
          <w:sz w:val="28"/>
          <w:szCs w:val="28"/>
        </w:rPr>
      </w:pPr>
      <w:bookmarkStart w:id="57" w:name="_Toc35617578"/>
      <w:r>
        <w:rPr>
          <w:rFonts w:hint="eastAsia" w:ascii="仿宋_GB2312" w:hAnsi="宋体" w:eastAsia="仿宋_GB2312"/>
          <w:b/>
          <w:bCs/>
          <w:sz w:val="28"/>
          <w:szCs w:val="28"/>
        </w:rPr>
        <w:t>3.1响应文件的编写</w:t>
      </w:r>
      <w:bookmarkEnd w:id="57"/>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3.1.1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3.1.2响应文件中的语言：响应文件和来往函件应用简体中文书写，响应人提供的支持文件、服务资料和印刷的文献可以用其他语言，但相应内容应附有中文翻译文本（经公证处公证），对不同文字文本响应文件的解释发生异议的，以中文文本为准。</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3.1.3响应人须用人民币作为报价的货币单位。</w:t>
      </w:r>
      <w:r>
        <w:rPr>
          <w:rFonts w:hint="eastAsia" w:ascii="仿宋_GB2312" w:hAnsi="宋体" w:eastAsia="仿宋_GB2312"/>
          <w:sz w:val="28"/>
          <w:szCs w:val="28"/>
        </w:rPr>
        <w:t>响应文件中报价表内容与响应文件中明细表内容不一致的，以报价表为准。响应</w:t>
      </w:r>
      <w:r>
        <w:rPr>
          <w:rFonts w:hint="eastAsia" w:ascii="仿宋_GB2312" w:hAnsi="宋体" w:eastAsia="仿宋_GB2312"/>
          <w:bCs/>
          <w:sz w:val="28"/>
          <w:szCs w:val="28"/>
        </w:rPr>
        <w:t>文件的大写金额和小写金额不一致的，以大写金额为准；总价金额与按单价汇总金额不一致的，以单价金额计算结果为准；单价金额小数点有明显错位的，应以总价为准，并修改单价。</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3.1.4响应人的报价明显低于其他</w:t>
      </w:r>
      <w:r>
        <w:rPr>
          <w:rFonts w:hint="eastAsia" w:ascii="宋体" w:hAnsi="宋体" w:cs="宋体"/>
          <w:bCs/>
          <w:sz w:val="28"/>
          <w:szCs w:val="28"/>
        </w:rPr>
        <w:t>响</w:t>
      </w:r>
      <w:r>
        <w:rPr>
          <w:rFonts w:hint="eastAsia" w:ascii="仿宋_GB2312" w:hAnsi="仿宋_GB2312" w:eastAsia="仿宋_GB2312" w:cs="仿宋_GB2312"/>
          <w:bCs/>
          <w:sz w:val="28"/>
          <w:szCs w:val="28"/>
        </w:rPr>
        <w:t>应</w:t>
      </w:r>
      <w:r>
        <w:rPr>
          <w:rFonts w:hint="eastAsia" w:ascii="仿宋_GB2312" w:hAnsi="宋体" w:eastAsia="仿宋_GB2312"/>
          <w:bCs/>
          <w:sz w:val="28"/>
          <w:szCs w:val="28"/>
        </w:rPr>
        <w:t>报价，使得其响应报价可能低于其个别成本的，</w:t>
      </w:r>
      <w:r>
        <w:rPr>
          <w:rFonts w:hint="eastAsia" w:ascii="仿宋_GB2312" w:hAnsi="宋体" w:eastAsia="仿宋_GB2312" w:cs="宋体"/>
          <w:kern w:val="0"/>
          <w:sz w:val="28"/>
          <w:szCs w:val="28"/>
        </w:rPr>
        <w:t>有可能影响服务质量和不能诚信履约的，项目采购评审小组</w:t>
      </w:r>
      <w:r>
        <w:rPr>
          <w:rFonts w:hint="eastAsia" w:ascii="仿宋_GB2312" w:hAnsi="宋体" w:eastAsia="仿宋_GB2312"/>
          <w:bCs/>
          <w:sz w:val="28"/>
          <w:szCs w:val="28"/>
        </w:rPr>
        <w:t>应当要求该响应人作出书面说明并提供相关证明材料。响应人不能合理说明或者不能提供相关证明材料的，由项目采购评审小组认定该响应人以低于成本报价，应作无效响应处理。</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3.1.5本项目要求响应报价应包括响应人提供本项目要求服务时所需单价、税率等所有费用。</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3.1.6响应人在详细报价中应列出采购人需求的所有项目，响应人认为必要的但在响应文件中未列出的其它项目可在报价表后面做出补充，所补充的内容应在响应文件中加以详细说明。</w:t>
      </w:r>
    </w:p>
    <w:p>
      <w:pPr>
        <w:tabs>
          <w:tab w:val="left" w:pos="735"/>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bCs/>
          <w:sz w:val="28"/>
          <w:szCs w:val="28"/>
        </w:rPr>
        <w:t>3.1.7响应栏项目中如出现唯一的数字“0”，则视报价为零；如出现空白或出现负数，视为未响应。</w:t>
      </w:r>
    </w:p>
    <w:p>
      <w:pPr>
        <w:tabs>
          <w:tab w:val="left" w:pos="0"/>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cs="宋体"/>
          <w:sz w:val="28"/>
          <w:szCs w:val="28"/>
        </w:rPr>
        <w:t>3.1.8响应人在编写响应文件时，应填写采购文件要求的内容及其附件，并根据实际情况补充评审所需资料，响应文件只填写和提供了采购文件要求的部分内容和附件，或没有提供采购文件中所要求的全部资料及数据，或没有按实际情况提供响应所需资料的，其可能导致的结果和责任由响应人自行承担。</w:t>
      </w:r>
    </w:p>
    <w:p>
      <w:pPr>
        <w:spacing w:line="360" w:lineRule="auto"/>
        <w:outlineLvl w:val="2"/>
        <w:rPr>
          <w:rFonts w:ascii="仿宋_GB2312" w:hAnsi="宋体" w:eastAsia="仿宋_GB2312"/>
          <w:b/>
          <w:bCs/>
          <w:sz w:val="28"/>
          <w:szCs w:val="28"/>
        </w:rPr>
      </w:pPr>
      <w:bookmarkStart w:id="58" w:name="_Toc35617579"/>
      <w:r>
        <w:rPr>
          <w:rFonts w:hint="eastAsia" w:ascii="仿宋_GB2312" w:hAnsi="宋体" w:eastAsia="仿宋_GB2312"/>
          <w:b/>
          <w:bCs/>
          <w:sz w:val="28"/>
          <w:szCs w:val="28"/>
        </w:rPr>
        <w:t>3.2 响应文件的组成</w:t>
      </w:r>
      <w:bookmarkEnd w:id="58"/>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3.2.1 响应人编写的响应文件应编排为四部分：1）响应报价文件；2）资格性、符合性审查文件；3）商务文件；4）服务方案文件</w:t>
      </w:r>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 响应文件应包含但不限于以下内容：1）按规定填写的响应函、响应一览表、响应报价表；2）按要求出具的资格证明文件，证明响应人是合格的，而且成交后有能力履行合同；3）按规定出具的证明文件，证明响应人提供的服务是合格的，而且符合采购文件的规定；4）对采购文件第二章作出的书面响应，包括但不限于商务要求等；5）响应人认为须提交与评分内容相关的其他资料。</w:t>
      </w:r>
    </w:p>
    <w:p>
      <w:pPr>
        <w:tabs>
          <w:tab w:val="left" w:pos="125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3.2.2响应人须按采购文件要求编制带有目录和页码并装订成册的响应文件。</w:t>
      </w:r>
    </w:p>
    <w:p>
      <w:pPr>
        <w:tabs>
          <w:tab w:val="left" w:pos="1254"/>
        </w:tabs>
        <w:spacing w:line="360" w:lineRule="auto"/>
        <w:rPr>
          <w:rFonts w:ascii="仿宋_GB2312" w:hAnsi="宋体" w:eastAsia="仿宋_GB2312"/>
          <w:sz w:val="28"/>
          <w:szCs w:val="28"/>
        </w:rPr>
      </w:pPr>
      <w:r>
        <w:rPr>
          <w:rFonts w:hint="eastAsia" w:ascii="仿宋_GB2312" w:hAnsi="宋体" w:eastAsia="仿宋_GB2312"/>
          <w:sz w:val="28"/>
          <w:szCs w:val="28"/>
        </w:rPr>
        <w:t>3.2.3 响应人须自行承担因其响应文件的任何错漏而导致的一切后果。</w:t>
      </w:r>
    </w:p>
    <w:p>
      <w:pPr>
        <w:spacing w:line="360" w:lineRule="auto"/>
        <w:outlineLvl w:val="2"/>
        <w:rPr>
          <w:rFonts w:ascii="仿宋_GB2312" w:hAnsi="宋体" w:eastAsia="仿宋_GB2312"/>
          <w:b/>
          <w:bCs/>
          <w:sz w:val="28"/>
          <w:szCs w:val="28"/>
        </w:rPr>
      </w:pPr>
      <w:bookmarkStart w:id="59" w:name="_Toc35617580"/>
      <w:r>
        <w:rPr>
          <w:rFonts w:hint="eastAsia" w:ascii="仿宋_GB2312" w:hAnsi="宋体" w:eastAsia="仿宋_GB2312"/>
          <w:b/>
          <w:bCs/>
          <w:sz w:val="28"/>
          <w:szCs w:val="28"/>
        </w:rPr>
        <w:t>3.3 响应文件的修改和撤回</w:t>
      </w:r>
      <w:bookmarkEnd w:id="59"/>
    </w:p>
    <w:p>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cs="宋体"/>
          <w:kern w:val="0"/>
          <w:sz w:val="28"/>
          <w:szCs w:val="28"/>
        </w:rPr>
        <w:t>3.3.1 响应文件须一次报出，不得更改。</w:t>
      </w:r>
      <w:r>
        <w:rPr>
          <w:rFonts w:hint="eastAsia" w:ascii="仿宋_GB2312" w:hAnsi="宋体" w:eastAsia="仿宋_GB2312"/>
          <w:sz w:val="28"/>
          <w:szCs w:val="28"/>
        </w:rPr>
        <w:t>从响应截止时间起至评审有效期前，响应人不得撤回其响应文件。</w:t>
      </w:r>
    </w:p>
    <w:p>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3.3.2采购人对因不可抗力事件所造成响应文件的损坏、丢失不承担任何责任。</w:t>
      </w:r>
    </w:p>
    <w:p>
      <w:pPr>
        <w:pStyle w:val="4"/>
        <w:keepLines/>
        <w:spacing w:before="260" w:after="260" w:line="400" w:lineRule="exact"/>
        <w:rPr>
          <w:rFonts w:ascii="仿宋_GB2312" w:eastAsia="仿宋_GB2312"/>
          <w:bCs w:val="0"/>
          <w:sz w:val="32"/>
          <w:szCs w:val="28"/>
        </w:rPr>
      </w:pPr>
      <w:bookmarkStart w:id="60" w:name="_Toc334797735"/>
      <w:bookmarkStart w:id="61" w:name="_Toc228644973"/>
      <w:bookmarkStart w:id="62" w:name="_Toc228899502"/>
      <w:bookmarkStart w:id="63" w:name="_Toc35617581"/>
      <w:bookmarkStart w:id="64" w:name="_Toc223939096"/>
      <w:bookmarkStart w:id="65" w:name="_Toc225565948"/>
      <w:bookmarkStart w:id="66" w:name="_Toc224435721"/>
      <w:bookmarkStart w:id="67" w:name="_Toc185747581"/>
      <w:bookmarkStart w:id="68" w:name="_Toc238282335"/>
      <w:bookmarkStart w:id="69" w:name="_Toc533236379"/>
      <w:bookmarkStart w:id="70" w:name="_Toc130697187"/>
      <w:bookmarkStart w:id="71" w:name="_Toc130695595"/>
      <w:bookmarkStart w:id="72" w:name="_Toc61327402"/>
      <w:bookmarkStart w:id="73" w:name="_Toc153615292"/>
      <w:r>
        <w:rPr>
          <w:rFonts w:hint="eastAsia" w:ascii="仿宋_GB2312" w:eastAsia="仿宋_GB2312"/>
          <w:bCs w:val="0"/>
          <w:sz w:val="32"/>
          <w:szCs w:val="28"/>
        </w:rPr>
        <w:t>4.响应总则</w:t>
      </w:r>
      <w:bookmarkEnd w:id="60"/>
      <w:bookmarkEnd w:id="61"/>
      <w:bookmarkEnd w:id="62"/>
      <w:bookmarkEnd w:id="63"/>
      <w:bookmarkEnd w:id="64"/>
      <w:bookmarkEnd w:id="65"/>
      <w:bookmarkEnd w:id="66"/>
      <w:bookmarkEnd w:id="67"/>
      <w:bookmarkEnd w:id="68"/>
      <w:bookmarkEnd w:id="69"/>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4.1全部响应文件应</w:t>
      </w:r>
      <w:r>
        <w:rPr>
          <w:rFonts w:hint="eastAsia" w:ascii="仿宋_GB2312" w:hAnsi="宋体" w:eastAsia="仿宋_GB2312"/>
          <w:sz w:val="28"/>
          <w:szCs w:val="28"/>
          <w:u w:val="single"/>
        </w:rPr>
        <w:t>一式三</w:t>
      </w:r>
      <w:r>
        <w:rPr>
          <w:rFonts w:hint="eastAsia" w:ascii="仿宋_GB2312" w:hAnsi="宋体" w:eastAsia="仿宋_GB2312"/>
          <w:sz w:val="28"/>
          <w:szCs w:val="28"/>
        </w:rPr>
        <w:t>份，其中正本</w:t>
      </w:r>
      <w:r>
        <w:rPr>
          <w:rFonts w:hint="eastAsia" w:ascii="仿宋_GB2312" w:hAnsi="宋体" w:eastAsia="仿宋_GB2312"/>
          <w:sz w:val="28"/>
          <w:szCs w:val="28"/>
          <w:u w:val="single"/>
        </w:rPr>
        <w:t>一</w:t>
      </w:r>
      <w:r>
        <w:rPr>
          <w:rFonts w:hint="eastAsia" w:ascii="仿宋_GB2312" w:hAnsi="宋体" w:eastAsia="仿宋_GB2312"/>
          <w:sz w:val="28"/>
          <w:szCs w:val="28"/>
        </w:rPr>
        <w:t>份，副本</w:t>
      </w:r>
      <w:r>
        <w:rPr>
          <w:rFonts w:hint="eastAsia" w:ascii="仿宋_GB2312" w:hAnsi="宋体" w:eastAsia="仿宋_GB2312"/>
          <w:sz w:val="28"/>
          <w:szCs w:val="28"/>
          <w:u w:val="single"/>
        </w:rPr>
        <w:t>二</w:t>
      </w:r>
      <w:r>
        <w:rPr>
          <w:rFonts w:hint="eastAsia" w:ascii="仿宋_GB2312" w:hAnsi="宋体" w:eastAsia="仿宋_GB2312"/>
          <w:sz w:val="28"/>
          <w:szCs w:val="28"/>
        </w:rPr>
        <w:t>份。所有响应文件应用</w:t>
      </w:r>
      <w:r>
        <w:rPr>
          <w:rFonts w:hint="eastAsia" w:ascii="仿宋_GB2312" w:hAnsi="宋体" w:eastAsia="仿宋_GB2312"/>
          <w:sz w:val="28"/>
          <w:szCs w:val="28"/>
          <w:u w:val="single"/>
        </w:rPr>
        <w:t>A4</w:t>
      </w:r>
      <w:r>
        <w:rPr>
          <w:rFonts w:hint="eastAsia" w:ascii="仿宋_GB2312" w:hAnsi="宋体" w:eastAsia="仿宋_GB2312"/>
          <w:sz w:val="28"/>
          <w:szCs w:val="28"/>
        </w:rPr>
        <w:t>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4.2响应人应对响应内容提供完整详细的服务说明，如响应人对指定的服务要求建议做任何改动，应在响应文件中清楚地注明。</w:t>
      </w:r>
    </w:p>
    <w:p>
      <w:pPr>
        <w:tabs>
          <w:tab w:val="left" w:pos="735"/>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4.3响应人资格文件视为响应文件不可分割的一部分。</w:t>
      </w:r>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4.4所有响应文件应在响应截止时间前送达评审地点，并交予采购人，任何迟于截止时间的响应将被拒绝。</w:t>
      </w:r>
    </w:p>
    <w:p>
      <w:pPr>
        <w:tabs>
          <w:tab w:val="left" w:pos="0"/>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4.5所有响应文件必须封入密封完好的信封或包装，封口加盖响应单位公章，并在每一信封或包装的封面上写明：</w:t>
      </w:r>
    </w:p>
    <w:tbl>
      <w:tblPr>
        <w:tblStyle w:val="3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9214" w:type="dxa"/>
          </w:tcPr>
          <w:p>
            <w:pPr>
              <w:spacing w:before="240" w:line="360" w:lineRule="auto"/>
              <w:rPr>
                <w:rFonts w:ascii="仿宋_GB2312" w:hAnsi="宋体" w:eastAsia="仿宋_GB2312"/>
                <w:sz w:val="28"/>
                <w:szCs w:val="28"/>
              </w:rPr>
            </w:pPr>
            <w:r>
              <w:rPr>
                <w:rFonts w:hint="eastAsia" w:ascii="仿宋_GB2312" w:hAnsi="宋体" w:eastAsia="仿宋_GB2312"/>
                <w:sz w:val="28"/>
                <w:szCs w:val="28"/>
              </w:rPr>
              <w:t>收件人名称：</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 xml:space="preserve">  （正本/副本/报价文件）</w:t>
            </w:r>
          </w:p>
          <w:p>
            <w:pPr>
              <w:spacing w:line="360" w:lineRule="auto"/>
              <w:jc w:val="left"/>
              <w:rPr>
                <w:rFonts w:ascii="仿宋_GB2312" w:hAnsi="宋体" w:eastAsia="仿宋_GB2312" w:cs="Tahoma"/>
                <w:sz w:val="28"/>
                <w:szCs w:val="28"/>
              </w:rPr>
            </w:pPr>
            <w:r>
              <w:rPr>
                <w:rFonts w:hint="eastAsia" w:ascii="仿宋_GB2312" w:hAnsi="宋体" w:eastAsia="仿宋_GB2312"/>
                <w:spacing w:val="58"/>
                <w:kern w:val="0"/>
                <w:sz w:val="28"/>
                <w:szCs w:val="28"/>
              </w:rPr>
              <w:t>项目名</w:t>
            </w:r>
            <w:r>
              <w:rPr>
                <w:rFonts w:hint="eastAsia" w:ascii="仿宋_GB2312" w:hAnsi="宋体" w:eastAsia="仿宋_GB2312"/>
                <w:spacing w:val="1"/>
                <w:kern w:val="0"/>
                <w:sz w:val="28"/>
                <w:szCs w:val="28"/>
              </w:rPr>
              <w:t>称</w:t>
            </w:r>
            <w:r>
              <w:rPr>
                <w:rFonts w:hint="eastAsia" w:ascii="仿宋_GB2312" w:hAnsi="宋体" w:eastAsia="仿宋_GB2312"/>
                <w:sz w:val="28"/>
                <w:szCs w:val="28"/>
              </w:rPr>
              <w:t>：</w:t>
            </w:r>
          </w:p>
          <w:p>
            <w:pPr>
              <w:spacing w:line="360" w:lineRule="auto"/>
              <w:rPr>
                <w:rFonts w:ascii="仿宋_GB2312" w:hAnsi="宋体" w:eastAsia="仿宋_GB2312"/>
                <w:sz w:val="28"/>
                <w:szCs w:val="28"/>
              </w:rPr>
            </w:pPr>
            <w:r>
              <w:rPr>
                <w:rFonts w:hint="eastAsia" w:ascii="仿宋_GB2312" w:hAnsi="宋体" w:eastAsia="仿宋_GB2312"/>
                <w:sz w:val="28"/>
                <w:szCs w:val="28"/>
              </w:rPr>
              <w:t>响应人名称：</w:t>
            </w:r>
          </w:p>
          <w:p>
            <w:pPr>
              <w:spacing w:line="360" w:lineRule="auto"/>
              <w:rPr>
                <w:rFonts w:ascii="仿宋_GB2312" w:hAnsi="宋体" w:eastAsia="仿宋_GB2312"/>
                <w:sz w:val="28"/>
                <w:szCs w:val="28"/>
              </w:rPr>
            </w:pPr>
            <w:r>
              <w:rPr>
                <w:rFonts w:hint="eastAsia" w:ascii="仿宋_GB2312" w:hAnsi="宋体" w:eastAsia="仿宋_GB2312"/>
                <w:sz w:val="28"/>
                <w:szCs w:val="28"/>
              </w:rPr>
              <w:t>响应人地址：</w:t>
            </w:r>
          </w:p>
          <w:p>
            <w:pPr>
              <w:spacing w:after="240" w:line="360" w:lineRule="auto"/>
              <w:rPr>
                <w:rFonts w:ascii="仿宋_GB2312" w:hAnsi="宋体" w:eastAsia="仿宋_GB2312"/>
                <w:sz w:val="28"/>
                <w:szCs w:val="28"/>
              </w:rPr>
            </w:pPr>
            <w:r>
              <w:rPr>
                <w:rFonts w:hint="eastAsia" w:ascii="仿宋_GB2312" w:hAnsi="宋体" w:eastAsia="仿宋_GB2312"/>
                <w:sz w:val="28"/>
                <w:szCs w:val="28"/>
              </w:rPr>
              <w:t>联  系  人：                      联系电话：</w:t>
            </w:r>
          </w:p>
        </w:tc>
      </w:tr>
    </w:tbl>
    <w:p>
      <w:pPr>
        <w:tabs>
          <w:tab w:val="left" w:pos="735"/>
          <w:tab w:val="left" w:pos="1164"/>
        </w:tabs>
        <w:spacing w:before="240" w:line="360" w:lineRule="auto"/>
        <w:rPr>
          <w:rFonts w:ascii="仿宋_GB2312" w:hAnsi="宋体" w:eastAsia="仿宋_GB2312"/>
          <w:sz w:val="28"/>
          <w:szCs w:val="28"/>
        </w:rPr>
      </w:pPr>
      <w:r>
        <w:rPr>
          <w:rFonts w:hint="eastAsia" w:ascii="仿宋_GB2312" w:hAnsi="宋体" w:eastAsia="仿宋_GB2312"/>
          <w:sz w:val="28"/>
          <w:szCs w:val="28"/>
        </w:rPr>
        <w:t>4.6 采购人不接受电报、电话、电传、传真等非约定形式响应。</w:t>
      </w:r>
    </w:p>
    <w:bookmarkEnd w:id="70"/>
    <w:bookmarkEnd w:id="71"/>
    <w:bookmarkEnd w:id="72"/>
    <w:bookmarkEnd w:id="73"/>
    <w:p>
      <w:pPr>
        <w:widowControl/>
        <w:jc w:val="left"/>
        <w:rPr>
          <w:rFonts w:ascii="仿宋_GB2312" w:eastAsia="仿宋_GB2312"/>
          <w:bCs/>
          <w:sz w:val="28"/>
          <w:szCs w:val="28"/>
        </w:rPr>
      </w:pPr>
      <w:bookmarkStart w:id="74" w:name="_Toc130180738"/>
      <w:bookmarkStart w:id="75" w:name="_Toc238282338"/>
      <w:bookmarkStart w:id="76" w:name="_Toc238282339"/>
      <w:bookmarkStart w:id="77" w:name="_Toc130180842"/>
      <w:bookmarkStart w:id="78" w:name="_Toc130180843"/>
      <w:bookmarkStart w:id="79" w:name="_Toc130180737"/>
      <w:bookmarkStart w:id="80" w:name="_Toc130180924"/>
      <w:bookmarkStart w:id="81" w:name="_Toc130180923"/>
      <w:r>
        <w:rPr>
          <w:rFonts w:ascii="仿宋_GB2312" w:eastAsia="仿宋_GB2312"/>
          <w:bCs/>
          <w:sz w:val="28"/>
          <w:szCs w:val="28"/>
        </w:rPr>
        <w:br w:type="page"/>
      </w:r>
    </w:p>
    <w:bookmarkEnd w:id="74"/>
    <w:bookmarkEnd w:id="75"/>
    <w:bookmarkEnd w:id="76"/>
    <w:bookmarkEnd w:id="77"/>
    <w:bookmarkEnd w:id="78"/>
    <w:bookmarkEnd w:id="79"/>
    <w:bookmarkEnd w:id="80"/>
    <w:bookmarkEnd w:id="81"/>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82" w:name="_Toc35617582"/>
      <w:bookmarkStart w:id="83" w:name="_Toc533236393"/>
      <w:bookmarkStart w:id="84" w:name="_Toc41723931"/>
      <w:bookmarkStart w:id="85" w:name="_Toc41884701"/>
      <w:bookmarkStart w:id="86" w:name="_Toc42313167"/>
      <w:r>
        <w:rPr>
          <w:rFonts w:hint="eastAsia" w:ascii="方正小标宋简体" w:hAnsi="宋体" w:eastAsia="方正小标宋简体" w:cs="Tahoma"/>
          <w:b w:val="0"/>
          <w:spacing w:val="20"/>
          <w:sz w:val="36"/>
          <w:szCs w:val="32"/>
        </w:rPr>
        <w:t>第三章 采购人需求</w:t>
      </w:r>
      <w:bookmarkEnd w:id="82"/>
    </w:p>
    <w:p>
      <w:pPr>
        <w:snapToGrid w:val="0"/>
        <w:spacing w:line="360" w:lineRule="auto"/>
        <w:outlineLvl w:val="1"/>
        <w:rPr>
          <w:rFonts w:ascii="仿宋_GB2312" w:eastAsia="仿宋_GB2312"/>
          <w:b/>
          <w:bCs/>
          <w:sz w:val="28"/>
          <w:szCs w:val="28"/>
        </w:rPr>
      </w:pPr>
      <w:bookmarkStart w:id="87" w:name="_Toc35617583"/>
      <w:bookmarkStart w:id="88" w:name="_Toc533776627"/>
      <w:r>
        <w:rPr>
          <w:rFonts w:hint="eastAsia" w:ascii="仿宋_GB2312" w:hAnsi="宋体" w:eastAsia="仿宋_GB2312"/>
          <w:b/>
          <w:sz w:val="32"/>
          <w:szCs w:val="28"/>
        </w:rPr>
        <w:t>1.总体说明</w:t>
      </w:r>
      <w:bookmarkEnd w:id="87"/>
      <w:bookmarkEnd w:id="88"/>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1.1响应人须对同一采购项目以包组为单位的采购内容及服务进行整体响应，任何只对包组内其中一部分内容进行的响应都被视为无效响应。</w:t>
      </w:r>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1.2响应人供应的货物符合国家食品安全标准，对于没有国家标准的应符合行业标准或企业标准，其中国家有强制性技术标准要求的产品，还应符合国家强制性技术标准，确保供应的货物安全、卫生。供应时提供供应物品的检测报告或产品合格证。</w:t>
      </w:r>
    </w:p>
    <w:p>
      <w:pPr>
        <w:spacing w:line="360" w:lineRule="auto"/>
        <w:ind w:left="549" w:hanging="548" w:hangingChars="196"/>
        <w:rPr>
          <w:rFonts w:ascii="仿宋_GB2312" w:hAnsi="宋体" w:eastAsia="仿宋_GB2312"/>
          <w:bCs/>
          <w:sz w:val="28"/>
          <w:szCs w:val="28"/>
        </w:rPr>
      </w:pPr>
      <w:r>
        <w:rPr>
          <w:rFonts w:ascii="仿宋_GB2312" w:hAnsi="宋体" w:eastAsia="仿宋_GB2312"/>
          <w:bCs/>
          <w:sz w:val="28"/>
          <w:szCs w:val="28"/>
        </w:rPr>
        <w:t xml:space="preserve">1.3 </w:t>
      </w:r>
      <w:r>
        <w:rPr>
          <w:rFonts w:hint="eastAsia" w:ascii="仿宋_GB2312" w:hAnsi="宋体" w:eastAsia="仿宋_GB2312"/>
          <w:bCs/>
          <w:sz w:val="28"/>
          <w:szCs w:val="28"/>
        </w:rPr>
        <w:t>响应人必须保证供应货物为优质、新鲜的货物，杜绝霉烂变质、劣质、过期食材等，保证所供货物均符合《国家食品卫生标准》和行业标准。</w:t>
      </w:r>
    </w:p>
    <w:p>
      <w:pPr>
        <w:snapToGrid w:val="0"/>
        <w:spacing w:before="480" w:line="360" w:lineRule="auto"/>
        <w:outlineLvl w:val="1"/>
        <w:rPr>
          <w:rFonts w:ascii="仿宋_GB2312" w:hAnsi="宋体" w:eastAsia="仿宋_GB2312"/>
          <w:b/>
          <w:sz w:val="32"/>
          <w:szCs w:val="28"/>
        </w:rPr>
      </w:pPr>
      <w:bookmarkStart w:id="89" w:name="_Toc533776628"/>
      <w:bookmarkStart w:id="90" w:name="_Toc35617584"/>
      <w:r>
        <w:rPr>
          <w:rFonts w:hint="eastAsia" w:ascii="仿宋_GB2312" w:hAnsi="宋体" w:eastAsia="仿宋_GB2312"/>
          <w:b/>
          <w:sz w:val="32"/>
          <w:szCs w:val="28"/>
        </w:rPr>
        <w:t>2.</w:t>
      </w:r>
      <w:bookmarkEnd w:id="89"/>
      <w:r>
        <w:rPr>
          <w:rFonts w:hint="eastAsia" w:ascii="仿宋_GB2312" w:hAnsi="宋体" w:eastAsia="仿宋_GB2312"/>
          <w:b/>
          <w:sz w:val="32"/>
          <w:szCs w:val="28"/>
        </w:rPr>
        <w:t>配餐指标</w:t>
      </w:r>
      <w:bookmarkEnd w:id="90"/>
    </w:p>
    <w:p>
      <w:pPr>
        <w:spacing w:line="360" w:lineRule="auto"/>
        <w:outlineLvl w:val="2"/>
        <w:rPr>
          <w:rFonts w:ascii="仿宋_GB2312" w:hAnsi="宋体" w:eastAsia="仿宋_GB2312"/>
          <w:b/>
          <w:sz w:val="28"/>
          <w:szCs w:val="28"/>
        </w:rPr>
      </w:pPr>
      <w:bookmarkStart w:id="91" w:name="_Toc533776629"/>
      <w:bookmarkStart w:id="92" w:name="_Toc35617585"/>
      <w:r>
        <w:rPr>
          <w:rFonts w:hint="eastAsia" w:ascii="仿宋_GB2312" w:hAnsi="宋体" w:eastAsia="仿宋_GB2312"/>
          <w:b/>
          <w:bCs/>
          <w:sz w:val="28"/>
          <w:szCs w:val="28"/>
        </w:rPr>
        <w:t xml:space="preserve">2.1 </w:t>
      </w:r>
      <w:bookmarkEnd w:id="91"/>
      <w:r>
        <w:rPr>
          <w:rFonts w:hint="eastAsia" w:ascii="仿宋_GB2312" w:hAnsi="宋体" w:eastAsia="仿宋_GB2312"/>
          <w:b/>
          <w:bCs/>
          <w:sz w:val="28"/>
          <w:szCs w:val="28"/>
        </w:rPr>
        <w:t>配餐内容</w:t>
      </w:r>
      <w:bookmarkEnd w:id="92"/>
    </w:p>
    <w:tbl>
      <w:tblPr>
        <w:tblStyle w:val="36"/>
        <w:tblW w:w="487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3"/>
        <w:gridCol w:w="1413"/>
        <w:gridCol w:w="2127"/>
        <w:gridCol w:w="2554"/>
        <w:gridCol w:w="127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387" w:type="pct"/>
            <w:tcBorders>
              <w:top w:val="single" w:color="auto" w:sz="12" w:space="0"/>
              <w:left w:val="single" w:color="auto" w:sz="12" w:space="0"/>
              <w:bottom w:val="single" w:color="000000"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767" w:type="pct"/>
            <w:tcBorders>
              <w:top w:val="single" w:color="auto" w:sz="12" w:space="0"/>
              <w:left w:val="single" w:color="000000" w:sz="4" w:space="0"/>
              <w:bottom w:val="single" w:color="000000"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货物名称</w:t>
            </w:r>
          </w:p>
        </w:tc>
        <w:tc>
          <w:tcPr>
            <w:tcW w:w="1154" w:type="pct"/>
            <w:tcBorders>
              <w:top w:val="single" w:color="auto" w:sz="12" w:space="0"/>
              <w:left w:val="single" w:color="000000" w:sz="4" w:space="0"/>
              <w:bottom w:val="single" w:color="auto"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数量</w:t>
            </w:r>
          </w:p>
        </w:tc>
        <w:tc>
          <w:tcPr>
            <w:tcW w:w="1386" w:type="pct"/>
            <w:tcBorders>
              <w:top w:val="single" w:color="auto" w:sz="12" w:space="0"/>
              <w:left w:val="single" w:color="000000" w:sz="4" w:space="0"/>
              <w:bottom w:val="single" w:color="auto" w:sz="4" w:space="0"/>
              <w:right w:val="single" w:color="auto"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交货时间</w:t>
            </w:r>
          </w:p>
        </w:tc>
        <w:tc>
          <w:tcPr>
            <w:tcW w:w="691" w:type="pct"/>
            <w:tcBorders>
              <w:top w:val="single" w:color="auto" w:sz="12" w:space="0"/>
              <w:left w:val="single" w:color="000000" w:sz="4" w:space="0"/>
              <w:bottom w:val="single" w:color="auto" w:sz="4" w:space="0"/>
              <w:right w:val="single" w:color="000000" w:sz="4"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最高限价</w:t>
            </w:r>
          </w:p>
        </w:tc>
        <w:tc>
          <w:tcPr>
            <w:tcW w:w="615" w:type="pct"/>
            <w:tcBorders>
              <w:top w:val="single" w:color="auto" w:sz="12" w:space="0"/>
              <w:left w:val="single" w:color="000000" w:sz="4" w:space="0"/>
              <w:bottom w:val="single" w:color="auto" w:sz="4" w:space="0"/>
              <w:right w:val="single" w:color="auto" w:sz="12"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387" w:type="pct"/>
            <w:tcBorders>
              <w:top w:val="single" w:color="000000" w:sz="4" w:space="0"/>
              <w:left w:val="single" w:color="auto" w:sz="12"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w:t>
            </w:r>
          </w:p>
        </w:tc>
        <w:tc>
          <w:tcPr>
            <w:tcW w:w="76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早餐</w:t>
            </w:r>
          </w:p>
        </w:tc>
        <w:tc>
          <w:tcPr>
            <w:tcW w:w="1154"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当天8:0</w:t>
            </w:r>
            <w:r>
              <w:rPr>
                <w:rFonts w:ascii="仿宋_GB2312" w:hAnsi="宋体" w:eastAsia="仿宋_GB2312"/>
                <w:color w:val="000000"/>
                <w:sz w:val="24"/>
                <w:szCs w:val="28"/>
              </w:rPr>
              <w:t>0</w:t>
            </w:r>
            <w:r>
              <w:rPr>
                <w:rFonts w:hint="eastAsia" w:ascii="仿宋_GB2312" w:hAnsi="宋体" w:eastAsia="仿宋_GB2312"/>
                <w:color w:val="000000"/>
                <w:sz w:val="24"/>
                <w:szCs w:val="28"/>
              </w:rPr>
              <w:t>前送达</w:t>
            </w:r>
          </w:p>
        </w:tc>
        <w:tc>
          <w:tcPr>
            <w:tcW w:w="691"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13元</w:t>
            </w:r>
          </w:p>
        </w:tc>
        <w:tc>
          <w:tcPr>
            <w:tcW w:w="615" w:type="pct"/>
            <w:tcBorders>
              <w:top w:val="single" w:color="000000" w:sz="4" w:space="0"/>
              <w:left w:val="single" w:color="000000" w:sz="4" w:space="0"/>
              <w:bottom w:val="single" w:color="000000" w:sz="4" w:space="0"/>
              <w:right w:val="single" w:color="auto" w:sz="12" w:space="0"/>
            </w:tcBorders>
            <w:vAlign w:val="center"/>
          </w:tcPr>
          <w:p>
            <w:pPr>
              <w:snapToGrid w:val="0"/>
              <w:jc w:val="center"/>
              <w:rPr>
                <w:rFonts w:ascii="仿宋_GB2312" w:hAnsi="宋体" w:eastAsia="仿宋_GB2312"/>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387" w:type="pct"/>
            <w:tcBorders>
              <w:top w:val="single" w:color="000000" w:sz="4" w:space="0"/>
              <w:left w:val="single" w:color="auto" w:sz="12"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p>
        </w:tc>
        <w:tc>
          <w:tcPr>
            <w:tcW w:w="76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午餐</w:t>
            </w:r>
          </w:p>
        </w:tc>
        <w:tc>
          <w:tcPr>
            <w:tcW w:w="1154"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12</w:t>
            </w:r>
            <w:r>
              <w:rPr>
                <w:rFonts w:hint="eastAsia" w:ascii="仿宋_GB2312" w:hAnsi="宋体" w:eastAsia="仿宋_GB2312"/>
                <w:color w:val="000000"/>
                <w:sz w:val="24"/>
                <w:szCs w:val="28"/>
              </w:rPr>
              <w:t>:00前送达</w:t>
            </w:r>
          </w:p>
        </w:tc>
        <w:tc>
          <w:tcPr>
            <w:tcW w:w="691"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24元</w:t>
            </w:r>
          </w:p>
        </w:tc>
        <w:tc>
          <w:tcPr>
            <w:tcW w:w="615" w:type="pct"/>
            <w:tcBorders>
              <w:top w:val="single" w:color="000000" w:sz="4" w:space="0"/>
              <w:left w:val="single" w:color="000000" w:sz="4" w:space="0"/>
              <w:bottom w:val="single" w:color="000000" w:sz="4" w:space="0"/>
              <w:right w:val="single" w:color="auto" w:sz="12" w:space="0"/>
            </w:tcBorders>
            <w:vAlign w:val="center"/>
          </w:tcPr>
          <w:p>
            <w:pPr>
              <w:snapToGrid w:val="0"/>
              <w:jc w:val="center"/>
              <w:rPr>
                <w:rFonts w:ascii="仿宋_GB2312" w:hAnsi="宋体" w:eastAsia="仿宋_GB2312"/>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387" w:type="pct"/>
            <w:tcBorders>
              <w:top w:val="single" w:color="000000" w:sz="4" w:space="0"/>
              <w:left w:val="single" w:color="auto" w:sz="12"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3</w:t>
            </w:r>
          </w:p>
        </w:tc>
        <w:tc>
          <w:tcPr>
            <w:tcW w:w="767" w:type="pct"/>
            <w:tcBorders>
              <w:top w:val="single" w:color="000000" w:sz="4" w:space="0"/>
              <w:left w:val="single" w:color="000000" w:sz="4"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晚餐</w:t>
            </w:r>
          </w:p>
        </w:tc>
        <w:tc>
          <w:tcPr>
            <w:tcW w:w="1154" w:type="pct"/>
            <w:tcBorders>
              <w:top w:val="single" w:color="000000" w:sz="4" w:space="0"/>
              <w:left w:val="single" w:color="000000" w:sz="4"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auto" w:sz="12" w:space="0"/>
              <w:right w:val="single" w:color="auto"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18</w:t>
            </w:r>
            <w:r>
              <w:rPr>
                <w:rFonts w:hint="eastAsia" w:ascii="仿宋_GB2312" w:hAnsi="宋体" w:eastAsia="仿宋_GB2312"/>
                <w:color w:val="000000"/>
                <w:sz w:val="24"/>
                <w:szCs w:val="28"/>
              </w:rPr>
              <w:t>:</w:t>
            </w:r>
            <w:r>
              <w:rPr>
                <w:rFonts w:ascii="仿宋_GB2312" w:hAnsi="宋体" w:eastAsia="仿宋_GB2312"/>
                <w:color w:val="000000"/>
                <w:sz w:val="24"/>
                <w:szCs w:val="28"/>
              </w:rPr>
              <w:t>3</w:t>
            </w:r>
            <w:r>
              <w:rPr>
                <w:rFonts w:hint="eastAsia" w:ascii="仿宋_GB2312" w:hAnsi="宋体" w:eastAsia="仿宋_GB2312"/>
                <w:color w:val="000000"/>
                <w:sz w:val="24"/>
                <w:szCs w:val="28"/>
              </w:rPr>
              <w:t>0前送达</w:t>
            </w:r>
          </w:p>
        </w:tc>
        <w:tc>
          <w:tcPr>
            <w:tcW w:w="691" w:type="pct"/>
            <w:tcBorders>
              <w:top w:val="single" w:color="000000" w:sz="4" w:space="0"/>
              <w:left w:val="single" w:color="000000" w:sz="4" w:space="0"/>
              <w:bottom w:val="single" w:color="auto" w:sz="12" w:space="0"/>
              <w:right w:val="single" w:color="000000" w:sz="4"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24元</w:t>
            </w:r>
          </w:p>
        </w:tc>
        <w:tc>
          <w:tcPr>
            <w:tcW w:w="615" w:type="pct"/>
            <w:tcBorders>
              <w:top w:val="single" w:color="000000" w:sz="4" w:space="0"/>
              <w:left w:val="single" w:color="000000" w:sz="4" w:space="0"/>
              <w:bottom w:val="single" w:color="auto" w:sz="12" w:space="0"/>
              <w:right w:val="single" w:color="auto" w:sz="12" w:space="0"/>
            </w:tcBorders>
            <w:vAlign w:val="center"/>
          </w:tcPr>
          <w:p>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如必要</w:t>
            </w:r>
          </w:p>
        </w:tc>
      </w:tr>
    </w:tbl>
    <w:p>
      <w:pPr>
        <w:spacing w:line="360" w:lineRule="auto"/>
        <w:rPr>
          <w:rFonts w:ascii="仿宋_GB2312" w:hAnsi="宋体" w:eastAsia="仿宋_GB2312"/>
          <w:sz w:val="28"/>
          <w:szCs w:val="28"/>
        </w:rPr>
      </w:pPr>
      <w:r>
        <w:rPr>
          <w:rFonts w:hint="eastAsia" w:ascii="仿宋_GB2312" w:hAnsi="宋体" w:eastAsia="仿宋_GB2312"/>
          <w:sz w:val="28"/>
          <w:szCs w:val="28"/>
        </w:rPr>
        <w:t>说明：以上交货时间具体可在运作时再协商。</w:t>
      </w:r>
    </w:p>
    <w:p>
      <w:pPr>
        <w:spacing w:line="360" w:lineRule="auto"/>
        <w:outlineLvl w:val="2"/>
        <w:rPr>
          <w:rFonts w:ascii="仿宋_GB2312" w:hAnsi="宋体" w:eastAsia="仿宋_GB2312"/>
          <w:b/>
          <w:bCs/>
          <w:sz w:val="28"/>
          <w:szCs w:val="28"/>
        </w:rPr>
      </w:pPr>
      <w:bookmarkStart w:id="93" w:name="_Toc35617586"/>
      <w:r>
        <w:rPr>
          <w:rFonts w:ascii="仿宋_GB2312" w:hAnsi="宋体" w:eastAsia="仿宋_GB2312"/>
          <w:b/>
          <w:bCs/>
          <w:sz w:val="28"/>
          <w:szCs w:val="28"/>
        </w:rPr>
        <w:t xml:space="preserve">2.2 </w:t>
      </w:r>
      <w:r>
        <w:rPr>
          <w:rFonts w:hint="eastAsia" w:ascii="仿宋_GB2312" w:hAnsi="宋体" w:eastAsia="仿宋_GB2312"/>
          <w:b/>
          <w:bCs/>
          <w:sz w:val="28"/>
          <w:szCs w:val="28"/>
        </w:rPr>
        <w:t>配餐要求</w:t>
      </w:r>
      <w:bookmarkEnd w:id="93"/>
    </w:p>
    <w:p>
      <w:pPr>
        <w:spacing w:line="360" w:lineRule="auto"/>
        <w:rPr>
          <w:rFonts w:ascii="仿宋_GB2312" w:hAnsi="宋体" w:eastAsia="仿宋_GB2312"/>
          <w:sz w:val="28"/>
          <w:szCs w:val="28"/>
        </w:rPr>
      </w:pPr>
      <w:r>
        <w:rPr>
          <w:rFonts w:ascii="仿宋_GB2312" w:hAnsi="宋体" w:eastAsia="仿宋_GB2312"/>
          <w:sz w:val="28"/>
          <w:szCs w:val="28"/>
        </w:rPr>
        <w:t xml:space="preserve">2.2.1 </w:t>
      </w:r>
      <w:r>
        <w:rPr>
          <w:rFonts w:hint="eastAsia" w:ascii="仿宋_GB2312" w:hAnsi="宋体" w:eastAsia="仿宋_GB2312"/>
          <w:sz w:val="28"/>
          <w:szCs w:val="28"/>
        </w:rPr>
        <w:t>早餐</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a. 配送当天主食种类不低于2种，如包子、面包、饼、炒面、汤粉、米线、馄饨等；</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b. 配送当天须提供一种流食（如豆浆、粥、牛奶等），若主食为带汤类可不配送流食；</w:t>
      </w:r>
    </w:p>
    <w:p>
      <w:pPr>
        <w:spacing w:line="360"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c. 配送当天须提供一种鸡蛋（水煮、煎炸等均可）；</w:t>
      </w:r>
    </w:p>
    <w:p>
      <w:pPr>
        <w:spacing w:line="360" w:lineRule="auto"/>
        <w:rPr>
          <w:rFonts w:ascii="仿宋_GB2312" w:hAnsi="宋体" w:eastAsia="仿宋_GB2312"/>
          <w:sz w:val="28"/>
          <w:szCs w:val="28"/>
        </w:rPr>
      </w:pPr>
      <w:r>
        <w:rPr>
          <w:rFonts w:ascii="仿宋_GB2312" w:hAnsi="宋体" w:eastAsia="仿宋_GB2312"/>
          <w:sz w:val="28"/>
          <w:szCs w:val="28"/>
        </w:rPr>
        <w:t xml:space="preserve">2.2.2 </w:t>
      </w:r>
      <w:r>
        <w:rPr>
          <w:rFonts w:hint="eastAsia" w:ascii="仿宋_GB2312" w:hAnsi="宋体" w:eastAsia="仿宋_GB2312"/>
          <w:sz w:val="28"/>
          <w:szCs w:val="28"/>
        </w:rPr>
        <w:t>午</w:t>
      </w:r>
      <w:r>
        <w:rPr>
          <w:rFonts w:ascii="仿宋_GB2312" w:hAnsi="宋体" w:eastAsia="仿宋_GB2312"/>
          <w:sz w:val="28"/>
          <w:szCs w:val="28"/>
        </w:rPr>
        <w:t>/晚餐</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a. 配送当天配送种类须包含大荤、小荤、素菜、例汤，另需配送水果或饮品；</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b. 配送当天大小荤菜不得同时加辣，口味偏清淡少油；</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c</w:t>
      </w:r>
      <w:r>
        <w:rPr>
          <w:rFonts w:ascii="仿宋_GB2312" w:hAnsi="宋体" w:eastAsia="仿宋_GB2312" w:cs="宋体"/>
          <w:bCs/>
          <w:kern w:val="0"/>
          <w:sz w:val="28"/>
          <w:szCs w:val="28"/>
        </w:rPr>
        <w:t xml:space="preserve">. </w:t>
      </w:r>
      <w:r>
        <w:rPr>
          <w:rFonts w:hint="eastAsia" w:ascii="仿宋_GB2312" w:hAnsi="宋体" w:eastAsia="仿宋_GB2312" w:cs="宋体"/>
          <w:bCs/>
          <w:kern w:val="0"/>
          <w:sz w:val="28"/>
          <w:szCs w:val="28"/>
        </w:rPr>
        <w:t>配送当天的菜品不可出现重复食材；</w:t>
      </w:r>
    </w:p>
    <w:p>
      <w:pPr>
        <w:spacing w:line="360" w:lineRule="auto"/>
        <w:rPr>
          <w:rFonts w:ascii="仿宋_GB2312" w:hAnsi="宋体" w:eastAsia="仿宋_GB2312"/>
          <w:sz w:val="28"/>
          <w:szCs w:val="28"/>
        </w:rPr>
      </w:pPr>
      <w:r>
        <w:rPr>
          <w:rFonts w:ascii="仿宋_GB2312" w:hAnsi="宋体" w:eastAsia="仿宋_GB2312"/>
          <w:sz w:val="28"/>
          <w:szCs w:val="28"/>
        </w:rPr>
        <w:t xml:space="preserve">2.2.3 </w:t>
      </w:r>
      <w:r>
        <w:rPr>
          <w:rFonts w:hint="eastAsia" w:ascii="仿宋_GB2312" w:hAnsi="宋体" w:eastAsia="仿宋_GB2312"/>
          <w:sz w:val="28"/>
          <w:szCs w:val="28"/>
        </w:rPr>
        <w:t>菜单</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每周提供菜单，一周内菜品、例汤、水果和饮品均不可重复。</w:t>
      </w:r>
    </w:p>
    <w:p>
      <w:pPr>
        <w:spacing w:line="360" w:lineRule="auto"/>
        <w:rPr>
          <w:rFonts w:ascii="仿宋_GB2312" w:hAnsi="宋体" w:eastAsia="仿宋_GB2312"/>
          <w:sz w:val="28"/>
          <w:szCs w:val="28"/>
        </w:rPr>
      </w:pPr>
      <w:r>
        <w:rPr>
          <w:rFonts w:ascii="仿宋_GB2312" w:hAnsi="宋体" w:eastAsia="仿宋_GB2312"/>
          <w:sz w:val="28"/>
          <w:szCs w:val="28"/>
        </w:rPr>
        <w:t xml:space="preserve">2.2.4 </w:t>
      </w:r>
      <w:r>
        <w:rPr>
          <w:rFonts w:hint="eastAsia" w:ascii="仿宋_GB2312" w:hAnsi="宋体" w:eastAsia="仿宋_GB2312"/>
          <w:sz w:val="28"/>
          <w:szCs w:val="28"/>
        </w:rPr>
        <w:t>送货单</w:t>
      </w:r>
    </w:p>
    <w:p>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送货单一式两联，采购人收货人验收餐具、餐品品种、数量、质量后，供应商送货员确认无误后，双方在送货单上签字确认，其中一联交给采购人留存。</w:t>
      </w:r>
    </w:p>
    <w:p>
      <w:pPr>
        <w:snapToGrid w:val="0"/>
        <w:spacing w:before="480" w:line="360" w:lineRule="auto"/>
        <w:outlineLvl w:val="1"/>
        <w:rPr>
          <w:rFonts w:ascii="仿宋_GB2312" w:hAnsi="宋体" w:eastAsia="仿宋_GB2312"/>
          <w:b/>
          <w:sz w:val="32"/>
          <w:szCs w:val="28"/>
        </w:rPr>
      </w:pPr>
      <w:bookmarkStart w:id="94" w:name="_Toc35617587"/>
      <w:r>
        <w:rPr>
          <w:rFonts w:ascii="仿宋_GB2312" w:hAnsi="宋体" w:eastAsia="仿宋_GB2312"/>
          <w:b/>
          <w:sz w:val="32"/>
          <w:szCs w:val="28"/>
        </w:rPr>
        <w:t>3.</w:t>
      </w:r>
      <w:r>
        <w:rPr>
          <w:rFonts w:hint="eastAsia" w:ascii="仿宋_GB2312" w:hAnsi="宋体" w:eastAsia="仿宋_GB2312"/>
          <w:b/>
          <w:sz w:val="32"/>
          <w:szCs w:val="28"/>
        </w:rPr>
        <w:t>供应保证</w:t>
      </w:r>
      <w:bookmarkEnd w:id="94"/>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3.1 </w:t>
      </w:r>
      <w:r>
        <w:rPr>
          <w:rFonts w:hint="eastAsia" w:ascii="仿宋_GB2312" w:hAnsi="宋体" w:eastAsia="仿宋_GB2312" w:cs="宋体"/>
          <w:bCs/>
          <w:color w:val="000000"/>
          <w:kern w:val="0"/>
          <w:sz w:val="28"/>
          <w:szCs w:val="28"/>
        </w:rPr>
        <w:t>服务配套设施完善，能提供安全卫生的餐具；</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3.2 </w:t>
      </w:r>
      <w:r>
        <w:rPr>
          <w:rFonts w:hint="eastAsia" w:ascii="仿宋_GB2312" w:hAnsi="宋体" w:eastAsia="仿宋_GB2312" w:cs="宋体"/>
          <w:bCs/>
          <w:color w:val="000000"/>
          <w:kern w:val="0"/>
          <w:sz w:val="28"/>
          <w:szCs w:val="28"/>
        </w:rPr>
        <w:t>具有相对固定的送货服务人员及运输能力；</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3.3 </w:t>
      </w:r>
      <w:r>
        <w:rPr>
          <w:rFonts w:hint="eastAsia" w:ascii="仿宋_GB2312" w:hAnsi="宋体" w:eastAsia="仿宋_GB2312" w:cs="宋体"/>
          <w:bCs/>
          <w:color w:val="000000"/>
          <w:kern w:val="0"/>
          <w:sz w:val="28"/>
          <w:szCs w:val="28"/>
        </w:rPr>
        <w:t>所供货物符合国家食品卫生安全管理相关条例规定，并愿意接受相关质检单位的商品质量检测；</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3.4 </w:t>
      </w:r>
      <w:r>
        <w:rPr>
          <w:rFonts w:hint="eastAsia" w:ascii="仿宋_GB2312" w:hAnsi="宋体" w:eastAsia="仿宋_GB2312" w:cs="宋体"/>
          <w:bCs/>
          <w:color w:val="000000"/>
          <w:kern w:val="0"/>
          <w:sz w:val="28"/>
          <w:szCs w:val="28"/>
        </w:rPr>
        <w:t>整个运输过程应科学合理，运输必须采用符合卫生要求的外包装和运载工具，并且要保持清洁和定期消毒，车厢内无不良气味、异味。</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3.5</w:t>
      </w:r>
      <w:r>
        <w:rPr>
          <w:rFonts w:hint="eastAsia" w:ascii="仿宋_GB2312" w:hAnsi="宋体" w:eastAsia="仿宋_GB2312" w:cs="宋体"/>
          <w:bCs/>
          <w:color w:val="000000"/>
          <w:kern w:val="0"/>
          <w:sz w:val="28"/>
          <w:szCs w:val="28"/>
        </w:rPr>
        <w:t xml:space="preserve"> 采购方应提前</w:t>
      </w:r>
      <w:r>
        <w:rPr>
          <w:rFonts w:ascii="仿宋_GB2312" w:hAnsi="宋体" w:eastAsia="仿宋_GB2312" w:cs="宋体"/>
          <w:bCs/>
          <w:color w:val="000000"/>
          <w:kern w:val="0"/>
          <w:sz w:val="28"/>
          <w:szCs w:val="28"/>
        </w:rPr>
        <w:t xml:space="preserve"> 1 </w:t>
      </w:r>
      <w:r>
        <w:rPr>
          <w:rFonts w:hint="eastAsia" w:ascii="仿宋_GB2312" w:hAnsi="宋体" w:eastAsia="仿宋_GB2312" w:cs="宋体"/>
          <w:bCs/>
          <w:color w:val="000000"/>
          <w:kern w:val="0"/>
          <w:sz w:val="28"/>
          <w:szCs w:val="28"/>
        </w:rPr>
        <w:t>天通过传真或电话等通讯方式向供应商发出用餐数量、送货时间及特殊要求的订单，供应方接到订单后，应按规定时间及时送货。</w:t>
      </w:r>
    </w:p>
    <w:p>
      <w:pPr>
        <w:snapToGrid w:val="0"/>
        <w:spacing w:before="240" w:line="360" w:lineRule="auto"/>
        <w:outlineLvl w:val="1"/>
        <w:rPr>
          <w:rFonts w:ascii="仿宋_GB2312" w:hAnsi="宋体" w:eastAsia="仿宋_GB2312"/>
          <w:b/>
          <w:sz w:val="32"/>
          <w:szCs w:val="28"/>
        </w:rPr>
      </w:pPr>
      <w:bookmarkStart w:id="95" w:name="_Toc35617588"/>
      <w:bookmarkStart w:id="96" w:name="_Toc533776635"/>
      <w:r>
        <w:rPr>
          <w:rFonts w:hint="eastAsia" w:ascii="仿宋_GB2312" w:hAnsi="宋体" w:eastAsia="仿宋_GB2312"/>
          <w:b/>
          <w:sz w:val="32"/>
          <w:szCs w:val="28"/>
        </w:rPr>
        <w:t>4.付款方式</w:t>
      </w:r>
      <w:bookmarkEnd w:id="95"/>
      <w:bookmarkEnd w:id="96"/>
    </w:p>
    <w:p>
      <w:pPr>
        <w:autoSpaceDE w:val="0"/>
        <w:autoSpaceDN w:val="0"/>
        <w:adjustRightInd w:val="0"/>
        <w:spacing w:line="360" w:lineRule="auto"/>
        <w:ind w:left="848" w:hanging="848" w:hangingChars="303"/>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由采购人按下列程序付款：</w:t>
      </w:r>
    </w:p>
    <w:p>
      <w:pPr>
        <w:autoSpaceDE w:val="0"/>
        <w:autoSpaceDN w:val="0"/>
        <w:adjustRightInd w:val="0"/>
        <w:spacing w:line="360" w:lineRule="auto"/>
        <w:ind w:left="560" w:hanging="560" w:hanging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4.1 每月初核算上一个月的配送的套餐类型和数量，按月结算；</w:t>
      </w:r>
    </w:p>
    <w:p>
      <w:pPr>
        <w:autoSpaceDE w:val="0"/>
        <w:autoSpaceDN w:val="0"/>
        <w:adjustRightInd w:val="0"/>
        <w:spacing w:line="360" w:lineRule="auto"/>
        <w:ind w:left="560" w:hanging="560" w:hanging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4.2 </w:t>
      </w:r>
      <w:r>
        <w:rPr>
          <w:rFonts w:hint="eastAsia" w:ascii="仿宋_GB2312" w:hAnsi="宋体" w:eastAsia="仿宋_GB2312" w:cs="宋体"/>
          <w:color w:val="000000"/>
          <w:kern w:val="0"/>
          <w:sz w:val="28"/>
          <w:szCs w:val="28"/>
        </w:rPr>
        <w:t>具体支付方式以采购人与中选人签订的合同为准。</w:t>
      </w:r>
    </w:p>
    <w:p>
      <w:pPr>
        <w:snapToGrid w:val="0"/>
        <w:spacing w:before="240" w:line="360" w:lineRule="auto"/>
        <w:outlineLvl w:val="1"/>
        <w:rPr>
          <w:rFonts w:ascii="仿宋_GB2312" w:hAnsi="宋体" w:eastAsia="仿宋_GB2312"/>
          <w:b/>
          <w:sz w:val="32"/>
          <w:szCs w:val="28"/>
        </w:rPr>
      </w:pPr>
      <w:bookmarkStart w:id="97" w:name="_Toc35617589"/>
      <w:r>
        <w:rPr>
          <w:rFonts w:hint="eastAsia" w:ascii="仿宋_GB2312" w:hAnsi="宋体" w:eastAsia="仿宋_GB2312"/>
          <w:b/>
          <w:sz w:val="32"/>
          <w:szCs w:val="28"/>
        </w:rPr>
        <w:t>5.服务保证</w:t>
      </w:r>
      <w:bookmarkEnd w:id="97"/>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5.1 </w:t>
      </w:r>
      <w:r>
        <w:rPr>
          <w:rFonts w:hint="eastAsia" w:ascii="仿宋_GB2312" w:hAnsi="宋体" w:eastAsia="仿宋_GB2312" w:cs="宋体"/>
          <w:bCs/>
          <w:color w:val="000000"/>
          <w:kern w:val="0"/>
          <w:sz w:val="28"/>
          <w:szCs w:val="28"/>
        </w:rPr>
        <w:t>如果中标方供应质量和服务达不到标书所示质量和合同所定事项，或供应不合格、假冒伪劣、以次充好的货物，采购方有权退货及记录在案，作为考核依据，情节严重的，采购方有权中断合约；</w:t>
      </w:r>
    </w:p>
    <w:p>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5.2</w:t>
      </w:r>
      <w:r>
        <w:rPr>
          <w:rFonts w:hint="eastAsia" w:ascii="仿宋_GB2312" w:hAnsi="宋体" w:eastAsia="仿宋_GB2312" w:cs="宋体"/>
          <w:bCs/>
          <w:color w:val="000000"/>
          <w:kern w:val="0"/>
          <w:sz w:val="28"/>
          <w:szCs w:val="28"/>
        </w:rPr>
        <w:t xml:space="preserve"> 如果发生上述情况，采购方可决定直接在此次的合格响应人中指定任一符合采购方要求的响应人或另行采购。</w:t>
      </w:r>
    </w:p>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r>
        <w:rPr>
          <w:rFonts w:ascii="仿宋_GB2312" w:hAnsi="宋体" w:eastAsia="仿宋_GB2312"/>
          <w:bCs w:val="0"/>
          <w:sz w:val="28"/>
          <w:szCs w:val="28"/>
        </w:rPr>
        <w:br w:type="page"/>
      </w:r>
      <w:bookmarkStart w:id="98" w:name="_Toc35617590"/>
      <w:bookmarkStart w:id="99" w:name="_Toc533776636"/>
      <w:bookmarkStart w:id="100" w:name="_Toc533236381"/>
      <w:r>
        <w:rPr>
          <w:rFonts w:hint="eastAsia" w:ascii="方正小标宋简体" w:hAnsi="宋体" w:eastAsia="方正小标宋简体" w:cs="Tahoma"/>
          <w:b w:val="0"/>
          <w:spacing w:val="20"/>
          <w:sz w:val="36"/>
          <w:szCs w:val="32"/>
        </w:rPr>
        <w:t>第四章  评审方式及程序</w:t>
      </w:r>
      <w:bookmarkEnd w:id="98"/>
      <w:bookmarkEnd w:id="99"/>
      <w:bookmarkEnd w:id="100"/>
    </w:p>
    <w:p>
      <w:pPr>
        <w:snapToGrid w:val="0"/>
        <w:spacing w:before="240" w:line="360" w:lineRule="auto"/>
        <w:outlineLvl w:val="1"/>
        <w:rPr>
          <w:rFonts w:ascii="仿宋_GB2312" w:hAnsi="宋体" w:eastAsia="仿宋_GB2312"/>
          <w:b/>
          <w:sz w:val="32"/>
          <w:szCs w:val="28"/>
        </w:rPr>
      </w:pPr>
      <w:bookmarkStart w:id="101" w:name="_Toc101775128"/>
      <w:bookmarkStart w:id="102" w:name="_Toc98580289"/>
      <w:bookmarkStart w:id="103" w:name="_Toc50276153"/>
      <w:bookmarkStart w:id="104" w:name="_Toc101951266"/>
      <w:bookmarkStart w:id="105" w:name="_Toc98579606"/>
      <w:bookmarkStart w:id="106" w:name="_Toc42394669"/>
      <w:bookmarkStart w:id="107" w:name="_Toc101771375"/>
      <w:bookmarkStart w:id="108" w:name="_Toc101843128"/>
      <w:bookmarkStart w:id="109" w:name="_Toc98579065"/>
      <w:bookmarkStart w:id="110" w:name="_Toc98579007"/>
      <w:bookmarkStart w:id="111" w:name="_Toc264203535"/>
      <w:bookmarkStart w:id="112" w:name="_Toc42394513"/>
      <w:bookmarkStart w:id="113" w:name="_Toc533776637"/>
      <w:bookmarkStart w:id="114" w:name="_Toc35617591"/>
      <w:r>
        <w:rPr>
          <w:rFonts w:hint="eastAsia" w:ascii="仿宋_GB2312" w:hAnsi="宋体" w:eastAsia="仿宋_GB2312"/>
          <w:b/>
          <w:sz w:val="32"/>
          <w:szCs w:val="28"/>
        </w:rPr>
        <w:t>1.评</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_GB2312" w:hAnsi="宋体" w:eastAsia="仿宋_GB2312"/>
          <w:b/>
          <w:sz w:val="32"/>
          <w:szCs w:val="28"/>
        </w:rPr>
        <w:t>审方式</w:t>
      </w:r>
      <w:bookmarkEnd w:id="113"/>
      <w:bookmarkEnd w:id="114"/>
    </w:p>
    <w:p>
      <w:pPr>
        <w:widowControl/>
        <w:tabs>
          <w:tab w:val="left" w:pos="720"/>
          <w:tab w:val="left" w:pos="1080"/>
        </w:tabs>
        <w:spacing w:line="360" w:lineRule="auto"/>
        <w:rPr>
          <w:rFonts w:ascii="仿宋_GB2312" w:hAnsi="宋体" w:eastAsia="仿宋_GB2312"/>
          <w:sz w:val="28"/>
          <w:szCs w:val="28"/>
        </w:rPr>
      </w:pPr>
      <w:r>
        <w:rPr>
          <w:rFonts w:hint="eastAsia" w:ascii="仿宋_GB2312" w:hAnsi="宋体" w:eastAsia="仿宋_GB2312"/>
          <w:sz w:val="28"/>
          <w:szCs w:val="28"/>
        </w:rPr>
        <w:t>1.1 本次采购由</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项目采购评审小组进行评审。</w:t>
      </w:r>
    </w:p>
    <w:p>
      <w:pPr>
        <w:widowControl/>
        <w:spacing w:line="360" w:lineRule="auto"/>
        <w:ind w:left="560" w:hanging="560" w:hangingChars="200"/>
        <w:jc w:val="left"/>
        <w:rPr>
          <w:rFonts w:ascii="仿宋_GB2312" w:hAnsi="宋体" w:eastAsia="仿宋_GB2312"/>
          <w:sz w:val="28"/>
          <w:szCs w:val="28"/>
        </w:rPr>
      </w:pPr>
      <w:r>
        <w:rPr>
          <w:rFonts w:hint="eastAsia" w:ascii="仿宋_GB2312" w:hAnsi="宋体" w:eastAsia="仿宋_GB2312"/>
          <w:sz w:val="28"/>
          <w:szCs w:val="28"/>
        </w:rPr>
        <w:t>1.2 本次评审采用综合评分法。评审以采购文件规定的条件为依据。评分比重如下：</w:t>
      </w:r>
    </w:p>
    <w:tbl>
      <w:tblPr>
        <w:tblStyle w:val="36"/>
        <w:tblW w:w="9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43"/>
        <w:gridCol w:w="2294"/>
        <w:gridCol w:w="1914"/>
        <w:gridCol w:w="15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评分项目</w:t>
            </w:r>
          </w:p>
        </w:tc>
        <w:tc>
          <w:tcPr>
            <w:tcW w:w="2143"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服务部分</w:t>
            </w:r>
          </w:p>
        </w:tc>
        <w:tc>
          <w:tcPr>
            <w:tcW w:w="2294"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商务部分</w:t>
            </w:r>
          </w:p>
        </w:tc>
        <w:tc>
          <w:tcPr>
            <w:tcW w:w="1914"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价格部分</w:t>
            </w:r>
          </w:p>
        </w:tc>
        <w:tc>
          <w:tcPr>
            <w:tcW w:w="1508" w:type="dxa"/>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总分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jc w:val="center"/>
              <w:rPr>
                <w:rFonts w:ascii="仿宋_GB2312" w:hAnsi="宋体" w:eastAsia="仿宋_GB2312"/>
                <w:b/>
                <w:color w:val="000000"/>
                <w:sz w:val="24"/>
                <w:szCs w:val="28"/>
              </w:rPr>
            </w:pPr>
            <w:r>
              <w:rPr>
                <w:rFonts w:hint="eastAsia" w:ascii="仿宋_GB2312" w:hAnsi="宋体" w:eastAsia="仿宋_GB2312"/>
                <w:b/>
                <w:color w:val="000000"/>
                <w:sz w:val="24"/>
                <w:szCs w:val="28"/>
              </w:rPr>
              <w:t>分值</w:t>
            </w:r>
          </w:p>
        </w:tc>
        <w:tc>
          <w:tcPr>
            <w:tcW w:w="2143"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60</w:t>
            </w:r>
          </w:p>
        </w:tc>
        <w:tc>
          <w:tcPr>
            <w:tcW w:w="2294"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914"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508" w:type="dxa"/>
            <w:vAlign w:val="center"/>
          </w:tcPr>
          <w:p>
            <w:pPr>
              <w:jc w:val="center"/>
              <w:rPr>
                <w:rFonts w:ascii="仿宋_GB2312" w:hAnsi="宋体" w:eastAsia="仿宋_GB2312"/>
                <w:sz w:val="24"/>
                <w:szCs w:val="28"/>
              </w:rPr>
            </w:pPr>
            <w:r>
              <w:rPr>
                <w:rFonts w:hint="eastAsia" w:ascii="仿宋_GB2312" w:hAnsi="宋体" w:eastAsia="仿宋_GB2312"/>
                <w:sz w:val="24"/>
                <w:szCs w:val="28"/>
              </w:rPr>
              <w:t>100</w:t>
            </w:r>
          </w:p>
        </w:tc>
      </w:tr>
    </w:tbl>
    <w:p>
      <w:pPr>
        <w:spacing w:line="360" w:lineRule="auto"/>
        <w:rPr>
          <w:rFonts w:ascii="仿宋_GB2312" w:hAnsi="宋体" w:eastAsia="仿宋_GB2312"/>
          <w:sz w:val="28"/>
          <w:szCs w:val="28"/>
        </w:rPr>
      </w:pPr>
    </w:p>
    <w:p>
      <w:pPr>
        <w:snapToGrid w:val="0"/>
        <w:spacing w:before="240" w:line="360" w:lineRule="auto"/>
        <w:outlineLvl w:val="1"/>
        <w:rPr>
          <w:rFonts w:ascii="仿宋_GB2312" w:hAnsi="宋体" w:eastAsia="仿宋_GB2312"/>
          <w:b/>
          <w:sz w:val="32"/>
          <w:szCs w:val="28"/>
        </w:rPr>
      </w:pPr>
      <w:bookmarkStart w:id="115" w:name="_Toc101775129"/>
      <w:bookmarkStart w:id="116" w:name="_Toc264203536"/>
      <w:bookmarkStart w:id="117" w:name="_Toc101951267"/>
      <w:bookmarkStart w:id="118" w:name="_Toc101771376"/>
      <w:bookmarkStart w:id="119" w:name="_Toc101843129"/>
      <w:bookmarkStart w:id="120" w:name="_Toc35617592"/>
      <w:bookmarkStart w:id="121" w:name="_Toc533776638"/>
      <w:r>
        <w:rPr>
          <w:rFonts w:hint="eastAsia" w:ascii="仿宋_GB2312" w:hAnsi="宋体" w:eastAsia="仿宋_GB2312"/>
          <w:b/>
          <w:sz w:val="32"/>
          <w:szCs w:val="28"/>
        </w:rPr>
        <w:t>2.评审程序</w:t>
      </w:r>
      <w:bookmarkEnd w:id="115"/>
      <w:bookmarkEnd w:id="116"/>
      <w:bookmarkEnd w:id="117"/>
      <w:bookmarkEnd w:id="118"/>
      <w:bookmarkEnd w:id="119"/>
      <w:bookmarkEnd w:id="120"/>
      <w:bookmarkEnd w:id="121"/>
    </w:p>
    <w:p>
      <w:pPr>
        <w:spacing w:line="360" w:lineRule="auto"/>
        <w:outlineLvl w:val="2"/>
        <w:rPr>
          <w:rFonts w:ascii="仿宋_GB2312" w:hAnsi="宋体" w:eastAsia="仿宋_GB2312"/>
          <w:b/>
          <w:bCs/>
          <w:sz w:val="28"/>
          <w:szCs w:val="28"/>
        </w:rPr>
      </w:pPr>
      <w:bookmarkStart w:id="122" w:name="_Toc533776639"/>
      <w:bookmarkStart w:id="123" w:name="_Toc35617593"/>
      <w:r>
        <w:rPr>
          <w:rFonts w:hint="eastAsia" w:ascii="仿宋_GB2312" w:hAnsi="宋体" w:eastAsia="仿宋_GB2312"/>
          <w:b/>
          <w:bCs/>
          <w:sz w:val="28"/>
          <w:szCs w:val="28"/>
        </w:rPr>
        <w:t>2.1 响应文件符合性审查</w:t>
      </w:r>
      <w:bookmarkEnd w:id="122"/>
      <w:bookmarkEnd w:id="123"/>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2.1.1 项目采购评审小组将根据评审细则的规定，对各响应文件进行资格性审查和符合性审查。</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2.1.2 响应文件出现下列情况之一时将被认定为无效响应：</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4" w:name="_Toc334797741"/>
      <w:bookmarkStart w:id="125" w:name="_Toc533236382"/>
      <w:r>
        <w:rPr>
          <w:rFonts w:hint="eastAsia" w:ascii="仿宋_GB2312" w:hAnsi="宋体" w:eastAsia="仿宋_GB2312" w:cs="宋体"/>
          <w:bCs/>
          <w:color w:val="000000"/>
          <w:kern w:val="0"/>
          <w:sz w:val="28"/>
          <w:szCs w:val="28"/>
        </w:rPr>
        <w:t>2.1.2.1 响应人不具备采购文件中规定资格要求的；</w:t>
      </w:r>
      <w:bookmarkEnd w:id="124"/>
      <w:bookmarkEnd w:id="125"/>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6" w:name="_Toc533236383"/>
      <w:r>
        <w:rPr>
          <w:rFonts w:hint="eastAsia" w:ascii="仿宋_GB2312" w:hAnsi="宋体" w:eastAsia="仿宋_GB2312" w:cs="宋体"/>
          <w:bCs/>
          <w:color w:val="000000"/>
          <w:kern w:val="0"/>
          <w:sz w:val="28"/>
          <w:szCs w:val="28"/>
        </w:rPr>
        <w:t>2.1.2.2 响应报价不是唯一，高于采购人需求规定的最高限价或低于成本价响应且未能提供相关证明材料的；</w:t>
      </w:r>
      <w:bookmarkEnd w:id="126"/>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7" w:name="_Toc334797744"/>
      <w:bookmarkStart w:id="128" w:name="_Toc533236384"/>
      <w:r>
        <w:rPr>
          <w:rFonts w:hint="eastAsia" w:ascii="仿宋_GB2312" w:hAnsi="宋体" w:eastAsia="仿宋_GB2312" w:cs="宋体"/>
          <w:bCs/>
          <w:color w:val="000000"/>
          <w:kern w:val="0"/>
          <w:sz w:val="28"/>
          <w:szCs w:val="28"/>
        </w:rPr>
        <w:t>2.1.2.3 响应文件未按采购文件的要求盖章及由法定代表人(或法定代表人委托的代理人)的印鉴或签名的；</w:t>
      </w:r>
      <w:bookmarkEnd w:id="127"/>
      <w:bookmarkEnd w:id="128"/>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9" w:name="_Toc533236385"/>
      <w:bookmarkStart w:id="130" w:name="_Toc334797745"/>
      <w:r>
        <w:rPr>
          <w:rFonts w:hint="eastAsia" w:ascii="仿宋_GB2312" w:hAnsi="宋体" w:eastAsia="仿宋_GB2312" w:cs="宋体"/>
          <w:bCs/>
          <w:color w:val="000000"/>
          <w:kern w:val="0"/>
          <w:sz w:val="28"/>
          <w:szCs w:val="28"/>
        </w:rPr>
        <w:t>2.1.2.4 响应文件没有提供有效的法定代表人证明及授权书；</w:t>
      </w:r>
      <w:bookmarkEnd w:id="129"/>
      <w:bookmarkEnd w:id="130"/>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1" w:name="_Toc334797747"/>
      <w:bookmarkStart w:id="132" w:name="_Toc533236386"/>
      <w:r>
        <w:rPr>
          <w:rFonts w:hint="eastAsia" w:ascii="仿宋_GB2312" w:hAnsi="宋体" w:eastAsia="仿宋_GB2312" w:cs="宋体"/>
          <w:bCs/>
          <w:color w:val="000000"/>
          <w:kern w:val="0"/>
          <w:sz w:val="28"/>
          <w:szCs w:val="28"/>
        </w:rPr>
        <w:t>2.1.2.5 响应文件未完全满足采购文件中带★号的条款和指标，或不符合采购文件的其他要求，有重大偏离的；</w:t>
      </w:r>
      <w:bookmarkEnd w:id="131"/>
      <w:bookmarkEnd w:id="132"/>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3" w:name="_Toc533236387"/>
      <w:bookmarkStart w:id="134" w:name="_Toc334797748"/>
      <w:r>
        <w:rPr>
          <w:rFonts w:hint="eastAsia" w:ascii="仿宋_GB2312" w:hAnsi="宋体" w:eastAsia="仿宋_GB2312" w:cs="宋体"/>
          <w:bCs/>
          <w:color w:val="000000"/>
          <w:kern w:val="0"/>
          <w:sz w:val="28"/>
          <w:szCs w:val="28"/>
        </w:rPr>
        <w:t>2.1.2.6 评审期间，响应人没有按评审小组的要求提交经授权代表签字的澄清、说明、补正或改变了响应文件的实质性内容的；</w:t>
      </w:r>
      <w:bookmarkEnd w:id="133"/>
      <w:bookmarkEnd w:id="134"/>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35" w:name="_Toc533236388"/>
      <w:bookmarkStart w:id="136" w:name="_Toc334797749"/>
      <w:r>
        <w:rPr>
          <w:rFonts w:hint="eastAsia" w:ascii="仿宋_GB2312" w:hAnsi="宋体" w:eastAsia="仿宋_GB2312" w:cs="宋体"/>
          <w:bCs/>
          <w:color w:val="000000"/>
          <w:kern w:val="0"/>
          <w:sz w:val="28"/>
          <w:szCs w:val="28"/>
        </w:rPr>
        <w:t>2.1.2.7 经评审小组认定响应文件提供虚假材料的；</w:t>
      </w:r>
      <w:bookmarkEnd w:id="135"/>
      <w:bookmarkEnd w:id="136"/>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7" w:name="_Toc334797750"/>
      <w:bookmarkStart w:id="138" w:name="_Toc533236389"/>
      <w:r>
        <w:rPr>
          <w:rFonts w:hint="eastAsia" w:ascii="仿宋_GB2312" w:hAnsi="宋体" w:eastAsia="仿宋_GB2312" w:cs="宋体"/>
          <w:bCs/>
          <w:color w:val="000000"/>
          <w:kern w:val="0"/>
          <w:sz w:val="28"/>
          <w:szCs w:val="28"/>
        </w:rPr>
        <w:t>2.1.2.8 响应人以他人的名义响应、串通、以行贿手段谋取成交或者以其他弄虚作假方式的；</w:t>
      </w:r>
      <w:bookmarkEnd w:id="137"/>
      <w:bookmarkEnd w:id="138"/>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9" w:name="_Toc334797751"/>
      <w:bookmarkStart w:id="140" w:name="_Toc533236390"/>
      <w:r>
        <w:rPr>
          <w:rFonts w:hint="eastAsia" w:ascii="仿宋_GB2312" w:hAnsi="宋体" w:eastAsia="仿宋_GB2312" w:cs="宋体"/>
          <w:bCs/>
          <w:color w:val="000000"/>
          <w:kern w:val="0"/>
          <w:sz w:val="28"/>
          <w:szCs w:val="28"/>
        </w:rPr>
        <w:t>2.1.2.9 响应人对采购人、评审小组及其工作人员施加影响，有碍评审公平、公正的；</w:t>
      </w:r>
      <w:bookmarkEnd w:id="139"/>
      <w:bookmarkEnd w:id="140"/>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1" w:name="_Toc533236391"/>
      <w:bookmarkStart w:id="142" w:name="_Toc334797752"/>
      <w:r>
        <w:rPr>
          <w:rFonts w:hint="eastAsia" w:ascii="仿宋_GB2312" w:hAnsi="宋体" w:eastAsia="仿宋_GB2312" w:cs="宋体"/>
          <w:bCs/>
          <w:color w:val="000000"/>
          <w:kern w:val="0"/>
          <w:sz w:val="28"/>
          <w:szCs w:val="28"/>
        </w:rPr>
        <w:t>2.1.2.10 响应文件附有采购人不能接受的条件；</w:t>
      </w:r>
      <w:bookmarkEnd w:id="141"/>
      <w:bookmarkEnd w:id="142"/>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3" w:name="_Toc533236392"/>
      <w:bookmarkStart w:id="144" w:name="_Toc334797753"/>
      <w:r>
        <w:rPr>
          <w:rFonts w:hint="eastAsia" w:ascii="仿宋_GB2312" w:hAnsi="宋体" w:eastAsia="仿宋_GB2312" w:cs="宋体"/>
          <w:bCs/>
          <w:color w:val="000000"/>
          <w:kern w:val="0"/>
          <w:sz w:val="28"/>
          <w:szCs w:val="28"/>
        </w:rPr>
        <w:t>2.1.2.11 出现不符合相关法律、法规要求的情况的。</w:t>
      </w:r>
      <w:bookmarkEnd w:id="143"/>
      <w:bookmarkEnd w:id="144"/>
    </w:p>
    <w:p>
      <w:pPr>
        <w:spacing w:line="360" w:lineRule="auto"/>
        <w:outlineLvl w:val="2"/>
        <w:rPr>
          <w:rFonts w:ascii="仿宋_GB2312" w:hAnsi="宋体" w:eastAsia="仿宋_GB2312"/>
          <w:b/>
          <w:sz w:val="28"/>
          <w:szCs w:val="28"/>
        </w:rPr>
      </w:pPr>
      <w:bookmarkStart w:id="145" w:name="_Toc533776640"/>
      <w:bookmarkStart w:id="146" w:name="_Toc35617594"/>
      <w:r>
        <w:rPr>
          <w:rFonts w:hint="eastAsia" w:ascii="仿宋_GB2312" w:hAnsi="宋体" w:eastAsia="仿宋_GB2312"/>
          <w:b/>
          <w:sz w:val="28"/>
          <w:szCs w:val="28"/>
        </w:rPr>
        <w:t>2.2 响应文件的</w:t>
      </w:r>
      <w:r>
        <w:rPr>
          <w:rFonts w:hint="eastAsia" w:ascii="仿宋_GB2312" w:hAnsi="宋体" w:eastAsia="仿宋_GB2312"/>
          <w:b/>
          <w:bCs/>
          <w:sz w:val="28"/>
          <w:szCs w:val="28"/>
        </w:rPr>
        <w:t>澄清</w:t>
      </w:r>
      <w:bookmarkEnd w:id="145"/>
      <w:bookmarkEnd w:id="146"/>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2.2.1 对响应文件中含义不明确、同类问题表述不一致或者有明显文字和计算错误的内容，项目采购评审小组可以书面形式要求响应人作出必要的澄清、说明或者纠正。</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2.2.2 响应人的澄清、说明或者补正应当采用书面形式，由其授权的代表签字，并不得超出响应文件的范围或者改变响应文件的实质性内容。</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2.2.3 除上述规定的情形之外，项目采购评审小组在评审过程中，不得接收来自评审现场以外的任何形式的文件资料。</w:t>
      </w:r>
    </w:p>
    <w:p>
      <w:pPr>
        <w:spacing w:line="360" w:lineRule="auto"/>
        <w:outlineLvl w:val="2"/>
        <w:rPr>
          <w:rFonts w:ascii="仿宋_GB2312" w:hAnsi="宋体" w:eastAsia="仿宋_GB2312"/>
          <w:b/>
          <w:sz w:val="28"/>
          <w:szCs w:val="28"/>
        </w:rPr>
      </w:pPr>
      <w:bookmarkStart w:id="147" w:name="_Toc35617595"/>
      <w:bookmarkStart w:id="148" w:name="_Toc533776641"/>
      <w:r>
        <w:rPr>
          <w:rFonts w:hint="eastAsia" w:ascii="仿宋_GB2312" w:hAnsi="宋体" w:eastAsia="仿宋_GB2312"/>
          <w:b/>
          <w:sz w:val="28"/>
          <w:szCs w:val="28"/>
        </w:rPr>
        <w:t>2.3 比较与评价</w:t>
      </w:r>
      <w:bookmarkEnd w:id="147"/>
      <w:bookmarkEnd w:id="148"/>
    </w:p>
    <w:p>
      <w:pPr>
        <w:widowControl/>
        <w:tabs>
          <w:tab w:val="left" w:pos="0"/>
          <w:tab w:val="left" w:pos="1080"/>
        </w:tabs>
        <w:spacing w:line="360" w:lineRule="auto"/>
        <w:ind w:left="1" w:firstLine="560" w:firstLineChars="200"/>
        <w:rPr>
          <w:rFonts w:ascii="仿宋_GB2312" w:hAnsi="宋体" w:eastAsia="仿宋_GB2312"/>
          <w:sz w:val="28"/>
          <w:szCs w:val="28"/>
        </w:rPr>
      </w:pPr>
      <w:r>
        <w:rPr>
          <w:rFonts w:hint="eastAsia" w:ascii="仿宋_GB2312" w:hAnsi="宋体" w:eastAsia="仿宋_GB2312"/>
          <w:sz w:val="28"/>
          <w:szCs w:val="28"/>
        </w:rPr>
        <w:t>由评委对所有有效响应文件的服务、商务部分进行审核和分析，填写《竞选采购项目评分表》。评分内容详见附表二。</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2.3.1 服务评分：将各个评委的服务评分汇总，进行算术平均，得出该响应人的服务评分。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2.3.2 商务评分：将各个评委的商务评分汇总，进行算术平均，得出该响应人的商务评分。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2.3.3 价格评分： a）评标价的确定，经响应文件初审进行必要的价格更正及按上述条款的原则校核修正后的价格为评标价；b）计算价格评分，各有效响应供应商的评标价中，取最低者作为基准价，各有效响应供应商的价格评分统一按照下列公式计算： 价格评分＝（基准价÷评标价）×</w:t>
      </w:r>
      <w:r>
        <w:rPr>
          <w:rFonts w:ascii="仿宋_GB2312" w:hAnsi="宋体" w:eastAsia="仿宋_GB2312"/>
          <w:sz w:val="28"/>
          <w:szCs w:val="28"/>
        </w:rPr>
        <w:t>20</w:t>
      </w:r>
      <w:r>
        <w:rPr>
          <w:rFonts w:hint="eastAsia" w:ascii="仿宋_GB2312" w:hAnsi="宋体" w:eastAsia="仿宋_GB2312"/>
          <w:sz w:val="28"/>
          <w:szCs w:val="28"/>
        </w:rPr>
        <w:t>。</w:t>
      </w:r>
    </w:p>
    <w:p>
      <w:pPr>
        <w:widowControl/>
        <w:tabs>
          <w:tab w:val="left" w:pos="720"/>
          <w:tab w:val="left" w:pos="1080"/>
        </w:tabs>
        <w:spacing w:line="360" w:lineRule="auto"/>
        <w:ind w:left="720" w:hanging="720" w:hangingChars="300"/>
        <w:rPr>
          <w:rFonts w:ascii="仿宋_GB2312" w:hAnsi="宋体" w:eastAsia="仿宋_GB2312"/>
          <w:color w:val="000000"/>
          <w:sz w:val="24"/>
          <w:szCs w:val="28"/>
        </w:rPr>
      </w:pPr>
      <w:r>
        <w:rPr>
          <w:rFonts w:hint="eastAsia" w:ascii="仿宋_GB2312" w:hAnsi="宋体" w:eastAsia="仿宋_GB2312"/>
          <w:color w:val="000000"/>
          <w:sz w:val="24"/>
          <w:szCs w:val="28"/>
        </w:rPr>
        <w:t>注：各项得分按四舍五入原则精确到小数点后2位。</w:t>
      </w:r>
    </w:p>
    <w:p>
      <w:pPr>
        <w:spacing w:line="360" w:lineRule="auto"/>
        <w:outlineLvl w:val="2"/>
        <w:rPr>
          <w:rFonts w:ascii="仿宋_GB2312" w:hAnsi="宋体" w:eastAsia="仿宋_GB2312"/>
          <w:b/>
          <w:bCs/>
          <w:sz w:val="28"/>
          <w:szCs w:val="28"/>
        </w:rPr>
      </w:pPr>
      <w:bookmarkStart w:id="149" w:name="_Toc533776642"/>
      <w:bookmarkStart w:id="150" w:name="_Toc35617596"/>
      <w:r>
        <w:rPr>
          <w:rFonts w:hint="eastAsia" w:ascii="仿宋_GB2312" w:hAnsi="宋体" w:eastAsia="仿宋_GB2312"/>
          <w:b/>
          <w:bCs/>
          <w:sz w:val="28"/>
          <w:szCs w:val="28"/>
        </w:rPr>
        <w:t>2.4 综合评分的计算</w:t>
      </w:r>
      <w:bookmarkEnd w:id="149"/>
      <w:bookmarkEnd w:id="150"/>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2.4.1 综合评分=商务得分+服务得分+价格得分。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2.4.2 各项得分按四舍五入原则精确到小数点后2位。将综合评分由高到低顺序排列。综合评分相同的，按响应报价由低到高顺序排列；综合评分相同，且响应价格相同的，按服务评分由高到低顺序排列。综合评分相同，且响应报价和服务评分均相同的，名次由评审小组抽签决定。</w:t>
      </w:r>
    </w:p>
    <w:p>
      <w:pPr>
        <w:spacing w:line="360" w:lineRule="auto"/>
        <w:outlineLvl w:val="2"/>
        <w:rPr>
          <w:rFonts w:ascii="仿宋_GB2312" w:hAnsi="宋体" w:eastAsia="仿宋_GB2312"/>
          <w:b/>
          <w:sz w:val="28"/>
          <w:szCs w:val="28"/>
        </w:rPr>
      </w:pPr>
      <w:bookmarkStart w:id="151" w:name="_Toc35617597"/>
      <w:bookmarkStart w:id="152" w:name="_Toc533776643"/>
      <w:r>
        <w:rPr>
          <w:rFonts w:hint="eastAsia" w:ascii="仿宋_GB2312" w:hAnsi="宋体" w:eastAsia="仿宋_GB2312"/>
          <w:b/>
          <w:sz w:val="28"/>
          <w:szCs w:val="28"/>
        </w:rPr>
        <w:t>2.5 确定中选人</w:t>
      </w:r>
      <w:bookmarkEnd w:id="151"/>
      <w:bookmarkEnd w:id="152"/>
    </w:p>
    <w:p>
      <w:pPr>
        <w:widowControl/>
        <w:tabs>
          <w:tab w:val="left" w:pos="720"/>
          <w:tab w:val="left" w:pos="1080"/>
        </w:tabs>
        <w:spacing w:line="360" w:lineRule="auto"/>
        <w:ind w:firstLine="840" w:firstLineChars="300"/>
        <w:rPr>
          <w:rFonts w:ascii="仿宋_GB2312" w:hAnsi="宋体" w:eastAsia="仿宋_GB2312"/>
          <w:sz w:val="28"/>
          <w:szCs w:val="28"/>
        </w:rPr>
      </w:pPr>
      <w:r>
        <w:rPr>
          <w:rFonts w:hint="eastAsia" w:ascii="仿宋_GB2312" w:hAnsi="宋体" w:eastAsia="仿宋_GB2312"/>
          <w:sz w:val="28"/>
          <w:szCs w:val="28"/>
        </w:rPr>
        <w:t>按照评分表内容进行评审，综合得分最高者为中选供应商。如果出现</w:t>
      </w:r>
      <w:r>
        <w:rPr>
          <w:rFonts w:ascii="仿宋_GB2312" w:hAnsi="宋体" w:eastAsia="仿宋_GB2312"/>
          <w:sz w:val="28"/>
          <w:szCs w:val="28"/>
        </w:rPr>
        <w:t xml:space="preserve"> </w:t>
      </w:r>
      <w:r>
        <w:rPr>
          <w:rFonts w:hint="eastAsia" w:ascii="仿宋_GB2312" w:hAnsi="宋体" w:eastAsia="仿宋_GB2312"/>
          <w:sz w:val="28"/>
          <w:szCs w:val="28"/>
        </w:rPr>
        <w:t>最高综合得分相同的情况，则以价格分较高的供应商作为项目的中选供应商。</w:t>
      </w:r>
    </w:p>
    <w:p>
      <w:pPr>
        <w:widowControl/>
        <w:jc w:val="left"/>
        <w:rPr>
          <w:rFonts w:ascii="仿宋_GB2312" w:hAnsi="宋体" w:eastAsia="仿宋_GB2312"/>
          <w:sz w:val="28"/>
          <w:szCs w:val="28"/>
        </w:rPr>
      </w:pPr>
      <w:r>
        <w:rPr>
          <w:rFonts w:ascii="仿宋_GB2312" w:hAnsi="宋体" w:eastAsia="仿宋_GB2312"/>
          <w:sz w:val="28"/>
          <w:szCs w:val="28"/>
        </w:rPr>
        <w:br w:type="page"/>
      </w:r>
      <w:r>
        <w:rPr>
          <w:rFonts w:hint="eastAsia" w:ascii="仿宋_GB2312" w:hAnsi="宋体" w:eastAsia="仿宋_GB2312"/>
          <w:sz w:val="28"/>
          <w:szCs w:val="28"/>
        </w:rPr>
        <w:t xml:space="preserve">附表一               </w:t>
      </w:r>
    </w:p>
    <w:p>
      <w:pPr>
        <w:spacing w:after="240"/>
        <w:jc w:val="center"/>
        <w:rPr>
          <w:rFonts w:ascii="仿宋_GB2312" w:hAnsi="宋体" w:eastAsia="仿宋_GB2312"/>
          <w:b/>
          <w:bCs/>
          <w:sz w:val="36"/>
        </w:rPr>
      </w:pPr>
      <w:r>
        <w:rPr>
          <w:rFonts w:hint="eastAsia" w:ascii="仿宋_GB2312" w:hAnsi="宋体" w:eastAsia="仿宋_GB2312"/>
          <w:b/>
          <w:bCs/>
          <w:sz w:val="36"/>
        </w:rPr>
        <w:t>资格性、符合性审查表</w:t>
      </w:r>
      <w:bookmarkEnd w:id="83"/>
    </w:p>
    <w:tbl>
      <w:tblPr>
        <w:tblStyle w:val="36"/>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1323"/>
        <w:gridCol w:w="1323"/>
        <w:gridCol w:w="1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245" w:type="dxa"/>
            <w:vMerge w:val="restart"/>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969" w:type="dxa"/>
            <w:gridSpan w:val="3"/>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245" w:type="dxa"/>
            <w:vMerge w:val="continue"/>
            <w:shd w:val="clear" w:color="auto" w:fill="DDD9C3"/>
            <w:vAlign w:val="center"/>
          </w:tcPr>
          <w:p>
            <w:pPr>
              <w:snapToGrid w:val="0"/>
              <w:jc w:val="center"/>
              <w:rPr>
                <w:rFonts w:ascii="仿宋_GB2312" w:hAnsi="宋体" w:eastAsia="仿宋_GB2312"/>
                <w:b/>
                <w:sz w:val="24"/>
                <w:szCs w:val="28"/>
              </w:rPr>
            </w:pPr>
          </w:p>
        </w:tc>
        <w:tc>
          <w:tcPr>
            <w:tcW w:w="1323" w:type="dxa"/>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响应人A</w:t>
            </w:r>
          </w:p>
        </w:tc>
        <w:tc>
          <w:tcPr>
            <w:tcW w:w="1323" w:type="dxa"/>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响应人B</w:t>
            </w:r>
          </w:p>
        </w:tc>
        <w:tc>
          <w:tcPr>
            <w:tcW w:w="1323" w:type="dxa"/>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具备采购文件中规定响应人资格要求</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响应价格唯一，不高于采购人需求规定的最高限价或低于成本价，且能提供相关证明材料的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符合采购文件的签署、盖章要求</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按采购文件要求提供法定代表人证明及授权书</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符合采购文件响应有效期要求的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满足采购文件中对响应人的指定要求，没有重大偏离的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未发现无效响应的其他情形的（见注1）</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245" w:type="dxa"/>
            <w:vAlign w:val="center"/>
          </w:tcPr>
          <w:p>
            <w:pPr>
              <w:jc w:val="center"/>
              <w:rPr>
                <w:rFonts w:ascii="仿宋_GB2312" w:hAnsi="宋体" w:eastAsia="仿宋_GB2312"/>
                <w:b/>
                <w:sz w:val="24"/>
                <w:szCs w:val="28"/>
              </w:rPr>
            </w:pPr>
            <w:r>
              <w:rPr>
                <w:rFonts w:hint="eastAsia" w:ascii="仿宋_GB2312" w:hAnsi="宋体" w:eastAsia="仿宋_GB2312"/>
                <w:b/>
                <w:sz w:val="24"/>
                <w:szCs w:val="28"/>
              </w:rPr>
              <w:t>结论</w:t>
            </w:r>
          </w:p>
        </w:tc>
        <w:tc>
          <w:tcPr>
            <w:tcW w:w="1323" w:type="dxa"/>
            <w:vAlign w:val="center"/>
          </w:tcPr>
          <w:p>
            <w:pPr>
              <w:rPr>
                <w:rFonts w:ascii="仿宋_GB2312" w:hAnsi="宋体" w:eastAsia="仿宋_GB2312"/>
                <w:b/>
                <w:sz w:val="24"/>
                <w:szCs w:val="28"/>
              </w:rPr>
            </w:pPr>
          </w:p>
        </w:tc>
        <w:tc>
          <w:tcPr>
            <w:tcW w:w="1323" w:type="dxa"/>
            <w:vAlign w:val="center"/>
          </w:tcPr>
          <w:p>
            <w:pPr>
              <w:rPr>
                <w:rFonts w:ascii="仿宋_GB2312" w:hAnsi="宋体" w:eastAsia="仿宋_GB2312"/>
                <w:b/>
                <w:sz w:val="24"/>
                <w:szCs w:val="28"/>
              </w:rPr>
            </w:pPr>
          </w:p>
        </w:tc>
        <w:tc>
          <w:tcPr>
            <w:tcW w:w="1323" w:type="dxa"/>
            <w:vAlign w:val="center"/>
          </w:tcPr>
          <w:p>
            <w:pPr>
              <w:rPr>
                <w:rFonts w:ascii="仿宋_GB2312" w:hAnsi="宋体" w:eastAsia="仿宋_GB2312"/>
                <w:b/>
                <w:sz w:val="24"/>
                <w:szCs w:val="28"/>
              </w:rPr>
            </w:pPr>
          </w:p>
        </w:tc>
      </w:tr>
    </w:tbl>
    <w:p>
      <w:pPr>
        <w:spacing w:line="360" w:lineRule="auto"/>
        <w:rPr>
          <w:rFonts w:ascii="仿宋_GB2312" w:hAnsi="宋体" w:eastAsia="仿宋_GB2312"/>
          <w:bCs/>
          <w:sz w:val="28"/>
          <w:szCs w:val="28"/>
        </w:rPr>
      </w:pPr>
      <w:bookmarkStart w:id="191" w:name="_GoBack"/>
      <w:bookmarkEnd w:id="191"/>
    </w:p>
    <w:p>
      <w:pPr>
        <w:spacing w:line="360" w:lineRule="auto"/>
        <w:rPr>
          <w:rFonts w:ascii="仿宋_GB2312" w:hAnsi="黑体" w:eastAsia="仿宋_GB2312"/>
          <w:sz w:val="24"/>
          <w:szCs w:val="28"/>
        </w:rPr>
      </w:pPr>
      <w:r>
        <w:rPr>
          <w:rFonts w:hint="eastAsia" w:ascii="仿宋_GB2312" w:eastAsia="仿宋_GB2312"/>
          <w:sz w:val="24"/>
          <w:szCs w:val="28"/>
        </w:rPr>
        <w:t>注1：无效响应的其他情形</w:t>
      </w:r>
    </w:p>
    <w:p>
      <w:pPr>
        <w:spacing w:line="360" w:lineRule="auto"/>
        <w:ind w:left="600" w:hanging="600" w:hangingChars="250"/>
        <w:rPr>
          <w:rFonts w:ascii="仿宋_GB2312" w:hAnsi="宋体" w:eastAsia="仿宋_GB2312"/>
          <w:sz w:val="24"/>
          <w:szCs w:val="28"/>
        </w:rPr>
      </w:pPr>
      <w:r>
        <w:rPr>
          <w:rFonts w:hint="eastAsia" w:ascii="仿宋_GB2312" w:hAnsi="宋体" w:eastAsia="仿宋_GB2312"/>
          <w:sz w:val="24"/>
          <w:szCs w:val="28"/>
        </w:rPr>
        <w:t>（1）评审期间，响应人没有按评审小组的要求提交经授权代表签字的澄清、说明、补正或改变了响应文件的实质性内容的；</w:t>
      </w:r>
    </w:p>
    <w:p>
      <w:pPr>
        <w:spacing w:line="360" w:lineRule="auto"/>
        <w:rPr>
          <w:rFonts w:ascii="仿宋_GB2312" w:hAnsi="宋体" w:eastAsia="仿宋_GB2312"/>
          <w:sz w:val="24"/>
          <w:szCs w:val="28"/>
        </w:rPr>
      </w:pPr>
      <w:r>
        <w:rPr>
          <w:rFonts w:hint="eastAsia" w:ascii="仿宋_GB2312" w:hAnsi="宋体" w:eastAsia="仿宋_GB2312"/>
          <w:sz w:val="24"/>
          <w:szCs w:val="28"/>
        </w:rPr>
        <w:t>（2）经评审小组认定响应文件提供虚假材料的；</w:t>
      </w:r>
    </w:p>
    <w:p>
      <w:pPr>
        <w:spacing w:line="360" w:lineRule="auto"/>
        <w:rPr>
          <w:rFonts w:ascii="仿宋_GB2312" w:hAnsi="宋体" w:eastAsia="仿宋_GB2312"/>
          <w:sz w:val="24"/>
          <w:szCs w:val="28"/>
        </w:rPr>
      </w:pPr>
      <w:r>
        <w:rPr>
          <w:rFonts w:hint="eastAsia" w:ascii="仿宋_GB2312" w:hAnsi="宋体" w:eastAsia="仿宋_GB2312"/>
          <w:sz w:val="24"/>
          <w:szCs w:val="28"/>
        </w:rPr>
        <w:t>（3） 响应人以他人的名义响应、串通、以行贿手段谋取成交或者以其他弄虚作假方式的；</w:t>
      </w:r>
    </w:p>
    <w:p>
      <w:pPr>
        <w:spacing w:line="360" w:lineRule="auto"/>
        <w:rPr>
          <w:rFonts w:ascii="仿宋_GB2312" w:hAnsi="宋体" w:eastAsia="仿宋_GB2312"/>
          <w:sz w:val="24"/>
          <w:szCs w:val="28"/>
        </w:rPr>
      </w:pPr>
      <w:r>
        <w:rPr>
          <w:rFonts w:hint="eastAsia" w:ascii="仿宋_GB2312" w:hAnsi="宋体" w:eastAsia="仿宋_GB2312"/>
          <w:sz w:val="24"/>
          <w:szCs w:val="28"/>
        </w:rPr>
        <w:t>（4）响应人对采购人、评审小组及其工作人员施加影响，有碍评审公平、公正的；</w:t>
      </w:r>
    </w:p>
    <w:p>
      <w:pPr>
        <w:spacing w:line="360" w:lineRule="auto"/>
        <w:rPr>
          <w:rFonts w:ascii="仿宋_GB2312" w:hAnsi="宋体" w:eastAsia="仿宋_GB2312"/>
          <w:sz w:val="24"/>
          <w:szCs w:val="28"/>
        </w:rPr>
      </w:pPr>
      <w:r>
        <w:rPr>
          <w:rFonts w:hint="eastAsia" w:ascii="仿宋_GB2312" w:hAnsi="宋体" w:eastAsia="仿宋_GB2312"/>
          <w:sz w:val="24"/>
          <w:szCs w:val="28"/>
        </w:rPr>
        <w:t>（5）响应文件附有采购人不能接受的条件；</w:t>
      </w:r>
    </w:p>
    <w:p>
      <w:pPr>
        <w:spacing w:line="360" w:lineRule="auto"/>
        <w:rPr>
          <w:rFonts w:ascii="仿宋_GB2312" w:hAnsi="宋体" w:eastAsia="仿宋_GB2312"/>
          <w:bCs/>
          <w:sz w:val="24"/>
          <w:szCs w:val="28"/>
        </w:rPr>
      </w:pPr>
      <w:r>
        <w:rPr>
          <w:rFonts w:hint="eastAsia" w:ascii="仿宋_GB2312" w:hAnsi="宋体" w:eastAsia="仿宋_GB2312"/>
          <w:sz w:val="24"/>
          <w:szCs w:val="28"/>
        </w:rPr>
        <w:t>（6）出现不符合相关法律、法规要求的情况的。</w:t>
      </w:r>
    </w:p>
    <w:p>
      <w:pPr>
        <w:spacing w:before="120" w:beforeLines="50" w:after="120" w:afterLines="50" w:line="360" w:lineRule="auto"/>
        <w:jc w:val="left"/>
        <w:rPr>
          <w:rFonts w:ascii="仿宋_GB2312" w:hAnsi="宋体" w:eastAsia="仿宋_GB2312"/>
          <w:sz w:val="28"/>
          <w:szCs w:val="28"/>
        </w:rPr>
      </w:pPr>
      <w:r>
        <w:rPr>
          <w:rFonts w:ascii="仿宋_GB2312" w:hAnsi="宋体" w:eastAsia="仿宋_GB2312"/>
          <w:sz w:val="28"/>
          <w:szCs w:val="28"/>
        </w:rPr>
        <w:br w:type="page"/>
      </w:r>
      <w:bookmarkStart w:id="153" w:name="_Toc463018933"/>
      <w:bookmarkStart w:id="154" w:name="_Toc435514846"/>
      <w:r>
        <w:rPr>
          <w:rFonts w:hint="eastAsia" w:ascii="仿宋_GB2312" w:hAnsi="宋体" w:eastAsia="仿宋_GB2312"/>
          <w:sz w:val="28"/>
          <w:szCs w:val="28"/>
        </w:rPr>
        <w:t xml:space="preserve">附表二 </w:t>
      </w:r>
    </w:p>
    <w:p>
      <w:pPr>
        <w:spacing w:after="240"/>
        <w:jc w:val="center"/>
        <w:rPr>
          <w:rFonts w:ascii="仿宋_GB2312" w:eastAsia="仿宋_GB2312"/>
          <w:b/>
          <w:bCs/>
          <w:sz w:val="36"/>
        </w:rPr>
      </w:pPr>
      <w:r>
        <w:rPr>
          <w:rFonts w:hint="eastAsia" w:ascii="仿宋_GB2312" w:eastAsia="仿宋_GB2312"/>
          <w:b/>
          <w:bCs/>
          <w:sz w:val="36"/>
        </w:rPr>
        <w:t>供餐服务评分表</w:t>
      </w:r>
      <w:bookmarkEnd w:id="153"/>
      <w:bookmarkEnd w:id="154"/>
    </w:p>
    <w:tbl>
      <w:tblPr>
        <w:tblStyle w:val="36"/>
        <w:tblW w:w="922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4"/>
        <w:gridCol w:w="1566"/>
        <w:gridCol w:w="709"/>
        <w:gridCol w:w="56"/>
        <w:gridCol w:w="5465"/>
        <w:gridCol w:w="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1566" w:type="dxa"/>
            <w:tcBorders>
              <w:top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评审项目</w:t>
            </w:r>
          </w:p>
        </w:tc>
        <w:tc>
          <w:tcPr>
            <w:tcW w:w="709" w:type="dxa"/>
            <w:tcBorders>
              <w:top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分值</w:t>
            </w:r>
          </w:p>
        </w:tc>
        <w:tc>
          <w:tcPr>
            <w:tcW w:w="5521" w:type="dxa"/>
            <w:gridSpan w:val="2"/>
            <w:tcBorders>
              <w:top w:val="single" w:color="auto" w:sz="12" w:space="0"/>
              <w:bottom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评分细则</w:t>
            </w:r>
          </w:p>
        </w:tc>
        <w:tc>
          <w:tcPr>
            <w:tcW w:w="709" w:type="dxa"/>
            <w:tcBorders>
              <w:top w:val="single" w:color="auto" w:sz="12" w:space="0"/>
              <w:bottom w:val="single" w:color="auto" w:sz="12" w:space="0"/>
              <w:right w:val="single" w:color="auto" w:sz="12" w:space="0"/>
            </w:tcBorders>
            <w:shd w:val="clear" w:color="auto" w:fill="DDD9C3"/>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tcBorders>
            <w:shd w:val="clear" w:color="auto" w:fill="FFFFFF"/>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一</w:t>
            </w:r>
          </w:p>
        </w:tc>
        <w:tc>
          <w:tcPr>
            <w:tcW w:w="8505" w:type="dxa"/>
            <w:gridSpan w:val="5"/>
            <w:tcBorders>
              <w:top w:val="single" w:color="auto" w:sz="12" w:space="0"/>
              <w:right w:val="single" w:color="auto" w:sz="12" w:space="0"/>
            </w:tcBorders>
            <w:shd w:val="clear" w:color="auto" w:fill="FFFFFF"/>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服务部分（合计60分）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3"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bookmarkStart w:id="155" w:name="_Hlk297631601"/>
            <w:r>
              <w:rPr>
                <w:rFonts w:hint="eastAsia" w:ascii="仿宋_GB2312" w:hAnsi="宋体" w:eastAsia="仿宋_GB2312" w:cs="宋体"/>
                <w:sz w:val="24"/>
                <w:szCs w:val="28"/>
              </w:rPr>
              <w:t>1</w:t>
            </w:r>
          </w:p>
        </w:tc>
        <w:tc>
          <w:tcPr>
            <w:tcW w:w="1566" w:type="dxa"/>
            <w:vAlign w:val="center"/>
          </w:tcPr>
          <w:p>
            <w:pPr>
              <w:snapToGrid w:val="0"/>
              <w:jc w:val="center"/>
              <w:rPr>
                <w:rFonts w:ascii="仿宋_GB2312" w:hAnsi="宋体" w:eastAsia="仿宋_GB2312" w:cs="宋体"/>
                <w:sz w:val="24"/>
                <w:szCs w:val="28"/>
              </w:rPr>
            </w:pPr>
            <w:r>
              <w:rPr>
                <w:rFonts w:hint="eastAsia" w:ascii="仿宋_GB2312" w:hAnsi="宋体" w:eastAsia="仿宋_GB2312" w:cs="宋体"/>
                <w:sz w:val="24"/>
                <w:szCs w:val="28"/>
              </w:rPr>
              <w:t>食品卫生安全</w:t>
            </w:r>
          </w:p>
        </w:tc>
        <w:tc>
          <w:tcPr>
            <w:tcW w:w="709"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521" w:type="dxa"/>
            <w:gridSpan w:val="2"/>
            <w:vAlign w:val="center"/>
          </w:tcPr>
          <w:p>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针对食品卫生安全的保证措施，思路清晰，措施安排科学合理，符合相关规范要求，切实可行得20分；</w:t>
            </w:r>
          </w:p>
          <w:p>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针对食品卫生安全的保证措施，有比较清晰的思路，措施安排基本满足相关规范要求，有一定可行性得15分；</w:t>
            </w:r>
          </w:p>
          <w:p>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针对食品卫生安全的保证措施思路混乱，可行性差5分。</w:t>
            </w:r>
          </w:p>
          <w:p>
            <w:pPr>
              <w:ind w:left="-78" w:leftChars="-37" w:right="-73" w:rightChars="-35"/>
              <w:jc w:val="left"/>
              <w:rPr>
                <w:rFonts w:ascii="仿宋_GB2312" w:hAnsi="宋体" w:eastAsia="仿宋_GB2312" w:cs="宋体"/>
                <w:kern w:val="0"/>
                <w:sz w:val="24"/>
                <w:szCs w:val="28"/>
              </w:rPr>
            </w:pPr>
            <w:r>
              <w:rPr>
                <w:rFonts w:hint="eastAsia" w:ascii="仿宋_GB2312" w:hAnsi="宋体" w:eastAsia="仿宋_GB2312" w:cs="宋体"/>
                <w:sz w:val="24"/>
                <w:szCs w:val="28"/>
              </w:rPr>
              <w:t>未提供措施方案不得分。</w:t>
            </w:r>
          </w:p>
        </w:tc>
        <w:tc>
          <w:tcPr>
            <w:tcW w:w="709" w:type="dxa"/>
            <w:tcBorders>
              <w:right w:val="single" w:color="auto" w:sz="12" w:space="0"/>
            </w:tcBorders>
            <w:vAlign w:val="center"/>
          </w:tcPr>
          <w:p>
            <w:pPr>
              <w:jc w:val="center"/>
              <w:rPr>
                <w:rFonts w:ascii="仿宋_GB2312" w:hAnsi="宋体" w:eastAsia="仿宋_GB2312" w:cs="宋体"/>
                <w:sz w:val="24"/>
                <w:szCs w:val="28"/>
              </w:rPr>
            </w:pPr>
          </w:p>
        </w:tc>
      </w:tr>
      <w:bookmarkEnd w:id="15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膳食的提供及相关服务方案</w:t>
            </w:r>
          </w:p>
        </w:tc>
        <w:tc>
          <w:tcPr>
            <w:tcW w:w="709"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15</w:t>
            </w:r>
          </w:p>
        </w:tc>
        <w:tc>
          <w:tcPr>
            <w:tcW w:w="5521" w:type="dxa"/>
            <w:gridSpan w:val="2"/>
            <w:vAlign w:val="center"/>
          </w:tcPr>
          <w:p>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膳食提供完全满足本项目的实际需求，且品种丰富多样，营养搭配均衡，针对本项目服务方案全面、具体、深刻，切实可行得13分，早餐为自加工现制的可另加2分；</w:t>
            </w:r>
          </w:p>
          <w:p>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膳食提供完全满足本项目的实际需求，且品种比较丰富，营养搭配比较合理，针对本项目服务方案比较全面，有可行性得8分，早餐为自加工现制的可另加2分；</w:t>
            </w:r>
          </w:p>
          <w:p>
            <w:pPr>
              <w:rPr>
                <w:rFonts w:ascii="仿宋_GB2312" w:hAnsi="宋体" w:eastAsia="仿宋_GB2312" w:cs="宋体"/>
                <w:sz w:val="24"/>
                <w:szCs w:val="28"/>
              </w:rPr>
            </w:pPr>
            <w:r>
              <w:rPr>
                <w:rFonts w:hint="eastAsia" w:ascii="仿宋_GB2312" w:hAnsi="宋体" w:eastAsia="仿宋_GB2312" w:cs="宋体"/>
                <w:sz w:val="24"/>
                <w:szCs w:val="28"/>
              </w:rPr>
              <w:t>膳食提供基本满足本项目的实际需求，但品种较单一，营养搭配不合理，服务方案思路混乱，可行性差3分，早餐为自加工现制的可另加2分。</w:t>
            </w:r>
          </w:p>
          <w:p>
            <w:pPr>
              <w:ind w:left="-78" w:leftChars="-37" w:right="-73" w:rightChars="-35"/>
              <w:jc w:val="left"/>
              <w:rPr>
                <w:rFonts w:ascii="仿宋_GB2312" w:hAnsi="宋体" w:eastAsia="仿宋_GB2312" w:cs="宋体"/>
                <w:sz w:val="24"/>
                <w:szCs w:val="28"/>
              </w:rPr>
            </w:pPr>
            <w:r>
              <w:rPr>
                <w:rFonts w:hint="eastAsia" w:ascii="仿宋_GB2312" w:hAnsi="宋体" w:eastAsia="仿宋_GB2312" w:cs="宋体"/>
                <w:sz w:val="24"/>
                <w:szCs w:val="28"/>
              </w:rPr>
              <w:t>未提供方案不得分。</w:t>
            </w:r>
          </w:p>
        </w:tc>
        <w:tc>
          <w:tcPr>
            <w:tcW w:w="709" w:type="dxa"/>
            <w:tcBorders>
              <w:right w:val="single" w:color="auto" w:sz="12" w:space="0"/>
            </w:tcBorders>
            <w:vAlign w:val="center"/>
          </w:tcPr>
          <w:p>
            <w:pPr>
              <w:snapToGrid w:val="0"/>
              <w:ind w:right="147" w:rightChars="70"/>
              <w:jc w:val="center"/>
              <w:rPr>
                <w:rFonts w:ascii="仿宋_GB2312" w:hAnsi="宋体" w:eastAsia="仿宋_GB2312"/>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1566" w:type="dxa"/>
            <w:vAlign w:val="center"/>
          </w:tcPr>
          <w:p>
            <w:pPr>
              <w:jc w:val="center"/>
              <w:rPr>
                <w:rFonts w:ascii="仿宋_GB2312" w:hAnsi="宋体" w:eastAsia="仿宋_GB2312"/>
                <w:bCs/>
                <w:sz w:val="24"/>
                <w:szCs w:val="28"/>
              </w:rPr>
            </w:pPr>
            <w:r>
              <w:rPr>
                <w:rFonts w:hint="eastAsia" w:ascii="仿宋_GB2312" w:hAnsi="宋体" w:eastAsia="仿宋_GB2312"/>
                <w:bCs/>
                <w:sz w:val="24"/>
                <w:szCs w:val="28"/>
              </w:rPr>
              <w:t>供餐标准方案</w:t>
            </w:r>
          </w:p>
        </w:tc>
        <w:tc>
          <w:tcPr>
            <w:tcW w:w="709"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15</w:t>
            </w:r>
          </w:p>
        </w:tc>
        <w:tc>
          <w:tcPr>
            <w:tcW w:w="5521" w:type="dxa"/>
            <w:gridSpan w:val="2"/>
            <w:vAlign w:val="center"/>
          </w:tcPr>
          <w:p>
            <w:pPr>
              <w:widowControl/>
              <w:rPr>
                <w:rFonts w:ascii="仿宋_GB2312" w:hAnsi="宋体" w:eastAsia="仿宋_GB2312"/>
                <w:sz w:val="24"/>
                <w:szCs w:val="28"/>
              </w:rPr>
            </w:pPr>
            <w:r>
              <w:rPr>
                <w:rFonts w:hint="eastAsia" w:ascii="仿宋_GB2312" w:hAnsi="宋体" w:eastAsia="仿宋_GB2312"/>
                <w:sz w:val="24"/>
                <w:szCs w:val="28"/>
              </w:rPr>
              <w:t>起订量不超过10份且配送距离在10km以内的，可得15分；</w:t>
            </w:r>
          </w:p>
          <w:p>
            <w:pPr>
              <w:widowControl/>
              <w:rPr>
                <w:rFonts w:ascii="仿宋_GB2312" w:hAnsi="宋体" w:eastAsia="仿宋_GB2312"/>
                <w:sz w:val="24"/>
                <w:szCs w:val="28"/>
              </w:rPr>
            </w:pPr>
            <w:r>
              <w:rPr>
                <w:rFonts w:hint="eastAsia" w:ascii="仿宋_GB2312" w:hAnsi="宋体" w:eastAsia="仿宋_GB2312"/>
                <w:sz w:val="24"/>
                <w:szCs w:val="28"/>
              </w:rPr>
              <w:t>起订量不超过10份且配送距离在15km以内的，可得7分；</w:t>
            </w:r>
          </w:p>
          <w:p>
            <w:pPr>
              <w:widowControl/>
              <w:rPr>
                <w:rFonts w:ascii="仿宋_GB2312" w:hAnsi="宋体" w:eastAsia="仿宋_GB2312"/>
                <w:sz w:val="24"/>
                <w:szCs w:val="28"/>
              </w:rPr>
            </w:pPr>
            <w:r>
              <w:rPr>
                <w:rFonts w:hint="eastAsia" w:ascii="仿宋_GB2312" w:hAnsi="宋体" w:eastAsia="仿宋_GB2312"/>
                <w:sz w:val="24"/>
                <w:szCs w:val="28"/>
              </w:rPr>
              <w:t>起订量大于10份的，可得3分；</w:t>
            </w:r>
          </w:p>
          <w:p>
            <w:pPr>
              <w:widowControl/>
              <w:rPr>
                <w:rFonts w:ascii="仿宋_GB2312" w:hAnsi="宋体" w:eastAsia="仿宋_GB2312"/>
                <w:sz w:val="24"/>
                <w:szCs w:val="28"/>
              </w:rPr>
            </w:pPr>
            <w:r>
              <w:rPr>
                <w:rFonts w:hint="eastAsia" w:ascii="仿宋_GB2312" w:hAnsi="宋体" w:eastAsia="仿宋_GB2312"/>
                <w:sz w:val="24"/>
                <w:szCs w:val="28"/>
              </w:rPr>
              <w:t>未提供措施方案不得分。</w:t>
            </w:r>
          </w:p>
          <w:p>
            <w:pPr>
              <w:widowControl/>
              <w:rPr>
                <w:rFonts w:ascii="仿宋_GB2312" w:hAnsi="宋体" w:eastAsia="仿宋_GB2312"/>
                <w:sz w:val="24"/>
                <w:szCs w:val="28"/>
              </w:rPr>
            </w:pPr>
            <w:r>
              <w:rPr>
                <w:rFonts w:hint="eastAsia" w:ascii="仿宋_GB2312" w:hAnsi="宋体" w:eastAsia="仿宋_GB2312"/>
                <w:sz w:val="24"/>
                <w:szCs w:val="28"/>
              </w:rPr>
              <w:t>注：配送距离以高德地图直线距离测量为准。</w:t>
            </w:r>
          </w:p>
        </w:tc>
        <w:tc>
          <w:tcPr>
            <w:tcW w:w="709" w:type="dxa"/>
            <w:tcBorders>
              <w:right w:val="single" w:color="auto" w:sz="12" w:space="0"/>
            </w:tcBorders>
            <w:vAlign w:val="center"/>
          </w:tcPr>
          <w:p>
            <w:pPr>
              <w:widowControl/>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4</w:t>
            </w:r>
          </w:p>
        </w:tc>
        <w:tc>
          <w:tcPr>
            <w:tcW w:w="1566" w:type="dxa"/>
            <w:vAlign w:val="center"/>
          </w:tcPr>
          <w:p>
            <w:pPr>
              <w:jc w:val="center"/>
              <w:rPr>
                <w:rFonts w:ascii="仿宋_GB2312" w:hAnsi="宋体" w:eastAsia="仿宋_GB2312" w:cs="Arial Unicode MS"/>
                <w:bCs/>
                <w:sz w:val="24"/>
                <w:szCs w:val="28"/>
              </w:rPr>
            </w:pPr>
            <w:r>
              <w:rPr>
                <w:rFonts w:hint="eastAsia" w:ascii="仿宋_GB2312" w:hAnsi="宋体" w:eastAsia="仿宋_GB2312"/>
                <w:bCs/>
                <w:sz w:val="24"/>
                <w:szCs w:val="28"/>
              </w:rPr>
              <w:t>突发事件处理方案</w:t>
            </w:r>
          </w:p>
        </w:tc>
        <w:tc>
          <w:tcPr>
            <w:tcW w:w="709" w:type="dxa"/>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521" w:type="dxa"/>
            <w:gridSpan w:val="2"/>
            <w:vAlign w:val="center"/>
          </w:tcPr>
          <w:p>
            <w:pPr>
              <w:snapToGrid w:val="0"/>
              <w:rPr>
                <w:rFonts w:ascii="仿宋_GB2312" w:hAnsi="宋体" w:eastAsia="仿宋_GB2312"/>
                <w:bCs/>
                <w:sz w:val="24"/>
                <w:szCs w:val="28"/>
              </w:rPr>
            </w:pPr>
            <w:r>
              <w:rPr>
                <w:rFonts w:hint="eastAsia" w:ascii="仿宋_GB2312" w:hAnsi="宋体" w:eastAsia="仿宋_GB2312"/>
                <w:bCs/>
                <w:sz w:val="24"/>
                <w:szCs w:val="28"/>
              </w:rPr>
              <w:t>根据响应人的突发状况处理方案完整度、精细度等进行横向比较：</w:t>
            </w:r>
          </w:p>
          <w:p>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 xml:space="preserve">方案具体、合理，综合评价优秀10分； </w:t>
            </w:r>
          </w:p>
          <w:p>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方案较具体、较合理，综合评价良好5分；</w:t>
            </w:r>
          </w:p>
          <w:p>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方案不具体、不合理，综合评价差3分。</w:t>
            </w:r>
          </w:p>
          <w:p>
            <w:pPr>
              <w:widowControl/>
              <w:rPr>
                <w:rFonts w:ascii="仿宋_GB2312" w:hAnsi="宋体" w:eastAsia="仿宋_GB2312"/>
                <w:bCs/>
                <w:sz w:val="24"/>
                <w:szCs w:val="28"/>
              </w:rPr>
            </w:pPr>
            <w:r>
              <w:rPr>
                <w:rFonts w:hint="eastAsia" w:ascii="仿宋_GB2312" w:hAnsi="宋体" w:eastAsia="仿宋_GB2312"/>
                <w:bCs/>
                <w:sz w:val="24"/>
                <w:szCs w:val="28"/>
              </w:rPr>
              <w:t>未提供方案不得分。</w:t>
            </w:r>
          </w:p>
          <w:p>
            <w:pPr>
              <w:widowControl/>
              <w:rPr>
                <w:rFonts w:ascii="仿宋_GB2312" w:hAnsi="宋体" w:eastAsia="仿宋_GB2312"/>
                <w:bCs/>
                <w:sz w:val="24"/>
                <w:szCs w:val="28"/>
              </w:rPr>
            </w:pPr>
          </w:p>
        </w:tc>
        <w:tc>
          <w:tcPr>
            <w:tcW w:w="709" w:type="dxa"/>
            <w:tcBorders>
              <w:right w:val="single" w:color="auto" w:sz="12" w:space="0"/>
            </w:tcBorders>
            <w:vAlign w:val="center"/>
          </w:tcPr>
          <w:p>
            <w:pPr>
              <w:widowControl/>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二</w:t>
            </w:r>
          </w:p>
        </w:tc>
        <w:tc>
          <w:tcPr>
            <w:tcW w:w="7796" w:type="dxa"/>
            <w:gridSpan w:val="4"/>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商务部分（合计20分）</w:t>
            </w:r>
          </w:p>
        </w:tc>
        <w:tc>
          <w:tcPr>
            <w:tcW w:w="709" w:type="dxa"/>
            <w:tcBorders>
              <w:right w:val="single" w:color="auto" w:sz="12" w:space="0"/>
            </w:tcBorders>
          </w:tcPr>
          <w:p>
            <w:pPr>
              <w:spacing w:line="360" w:lineRule="auto"/>
              <w:ind w:left="4800" w:hanging="4800" w:hangingChars="2000"/>
              <w:jc w:val="center"/>
              <w:rPr>
                <w:rFonts w:ascii="仿宋_GB2312" w:hAnsi="宋体" w:eastAsia="仿宋_GB2312"/>
                <w:bCs/>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vAlign w:val="center"/>
          </w:tcPr>
          <w:p>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用户满意度评价</w:t>
            </w:r>
          </w:p>
        </w:tc>
        <w:tc>
          <w:tcPr>
            <w:tcW w:w="765" w:type="dxa"/>
            <w:gridSpan w:val="2"/>
            <w:vAlign w:val="center"/>
          </w:tcPr>
          <w:p>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465" w:type="dxa"/>
            <w:vAlign w:val="center"/>
          </w:tcPr>
          <w:p>
            <w:pPr>
              <w:rPr>
                <w:rFonts w:ascii="仿宋_GB2312" w:hAnsi="宋体" w:eastAsia="仿宋_GB2312" w:cs="宋体"/>
                <w:sz w:val="24"/>
                <w:szCs w:val="28"/>
              </w:rPr>
            </w:pPr>
            <w:r>
              <w:rPr>
                <w:rFonts w:hint="eastAsia" w:ascii="仿宋_GB2312" w:hAnsi="宋体" w:eastAsia="仿宋_GB2312" w:cs="宋体"/>
                <w:sz w:val="24"/>
                <w:szCs w:val="28"/>
              </w:rPr>
              <w:t>响应人提供的自2020年至今的同类项目经验的用户单位出具的满意度评价：</w:t>
            </w:r>
          </w:p>
          <w:p>
            <w:pPr>
              <w:rPr>
                <w:rFonts w:ascii="仿宋_GB2312" w:hAnsi="宋体" w:eastAsia="仿宋_GB2312" w:cs="宋体"/>
                <w:sz w:val="24"/>
                <w:szCs w:val="28"/>
              </w:rPr>
            </w:pPr>
            <w:r>
              <w:rPr>
                <w:rFonts w:hint="eastAsia" w:ascii="仿宋_GB2312" w:hAnsi="宋体" w:eastAsia="仿宋_GB2312" w:cs="宋体"/>
                <w:sz w:val="24"/>
                <w:szCs w:val="28"/>
              </w:rPr>
              <w:t>每提供一项得2分，最高10分。</w:t>
            </w:r>
          </w:p>
          <w:p>
            <w:pPr>
              <w:rPr>
                <w:rFonts w:ascii="仿宋_GB2312" w:hAnsi="宋体" w:eastAsia="仿宋_GB2312" w:cs="宋体"/>
                <w:sz w:val="24"/>
                <w:szCs w:val="28"/>
              </w:rPr>
            </w:pPr>
            <w:r>
              <w:rPr>
                <w:rFonts w:hint="eastAsia" w:ascii="仿宋_GB2312" w:hAnsi="宋体" w:eastAsia="仿宋_GB2312" w:cs="宋体"/>
                <w:sz w:val="24"/>
                <w:szCs w:val="28"/>
              </w:rPr>
              <w:t>注：</w:t>
            </w:r>
          </w:p>
          <w:p>
            <w:pPr>
              <w:rPr>
                <w:rFonts w:ascii="仿宋_GB2312" w:hAnsi="宋体" w:eastAsia="仿宋_GB2312" w:cs="宋体"/>
                <w:sz w:val="24"/>
                <w:szCs w:val="28"/>
              </w:rPr>
            </w:pPr>
            <w:r>
              <w:rPr>
                <w:rFonts w:hint="eastAsia" w:ascii="仿宋_GB2312" w:hAnsi="宋体" w:eastAsia="仿宋_GB2312" w:cs="宋体"/>
                <w:sz w:val="24"/>
                <w:szCs w:val="28"/>
              </w:rPr>
              <w:t>①同一客户或同一项目提供多项用户满意度评价的，按一项计算；</w:t>
            </w:r>
          </w:p>
          <w:p>
            <w:pPr>
              <w:rPr>
                <w:rFonts w:ascii="仿宋_GB2312" w:hAnsi="宋体" w:eastAsia="仿宋_GB2312" w:cs="宋体"/>
                <w:sz w:val="24"/>
                <w:szCs w:val="28"/>
              </w:rPr>
            </w:pPr>
            <w:r>
              <w:rPr>
                <w:rFonts w:hint="eastAsia" w:ascii="仿宋_GB2312" w:hAnsi="宋体" w:eastAsia="仿宋_GB2312" w:cs="宋体"/>
                <w:sz w:val="24"/>
                <w:szCs w:val="28"/>
              </w:rPr>
              <w:t>②须与响应人上述提供的同类项目经验的用户单位一致；</w:t>
            </w:r>
          </w:p>
          <w:p>
            <w:pPr>
              <w:snapToGrid w:val="0"/>
              <w:ind w:right="-67" w:rightChars="-32"/>
              <w:jc w:val="left"/>
              <w:rPr>
                <w:rFonts w:ascii="仿宋_GB2312" w:hAnsi="宋体" w:eastAsia="仿宋_GB2312" w:cs="宋体"/>
                <w:sz w:val="24"/>
                <w:szCs w:val="28"/>
              </w:rPr>
            </w:pPr>
            <w:r>
              <w:rPr>
                <w:rFonts w:hint="eastAsia" w:ascii="仿宋_GB2312" w:hAnsi="宋体" w:eastAsia="仿宋_GB2312" w:cs="宋体"/>
                <w:sz w:val="24"/>
                <w:szCs w:val="28"/>
              </w:rPr>
              <w:t>③用户满意度评价须经用户单位盖章，评价情况至少须为满意或类似好评的方可计分。</w:t>
            </w:r>
          </w:p>
        </w:tc>
        <w:tc>
          <w:tcPr>
            <w:tcW w:w="709" w:type="dxa"/>
            <w:tcBorders>
              <w:right w:val="single" w:color="auto" w:sz="12" w:space="0"/>
            </w:tcBorders>
            <w:vAlign w:val="center"/>
          </w:tcPr>
          <w:p>
            <w:pPr>
              <w:ind w:left="4800" w:hanging="4800" w:hangingChars="2000"/>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restart"/>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Merge w:val="restart"/>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响应人信誉</w:t>
            </w:r>
          </w:p>
        </w:tc>
        <w:tc>
          <w:tcPr>
            <w:tcW w:w="765" w:type="dxa"/>
            <w:gridSpan w:val="2"/>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3</w:t>
            </w:r>
          </w:p>
        </w:tc>
        <w:tc>
          <w:tcPr>
            <w:tcW w:w="5465" w:type="dxa"/>
            <w:vAlign w:val="center"/>
          </w:tcPr>
          <w:p>
            <w:pPr>
              <w:rPr>
                <w:rFonts w:ascii="仿宋_GB2312" w:hAnsi="宋体" w:eastAsia="仿宋_GB2312"/>
                <w:sz w:val="24"/>
                <w:szCs w:val="28"/>
              </w:rPr>
            </w:pPr>
            <w:r>
              <w:rPr>
                <w:rFonts w:hint="eastAsia" w:ascii="仿宋_GB2312" w:hAnsi="宋体" w:eastAsia="仿宋_GB2312"/>
                <w:sz w:val="24"/>
                <w:szCs w:val="28"/>
              </w:rPr>
              <w:t>有，得3分；</w:t>
            </w:r>
          </w:p>
          <w:p>
            <w:pPr>
              <w:rPr>
                <w:rFonts w:ascii="仿宋_GB2312" w:hAnsi="宋体" w:eastAsia="仿宋_GB2312"/>
                <w:sz w:val="24"/>
                <w:szCs w:val="28"/>
              </w:rPr>
            </w:pPr>
            <w:r>
              <w:rPr>
                <w:rFonts w:hint="eastAsia" w:ascii="仿宋_GB2312" w:hAnsi="宋体" w:eastAsia="仿宋_GB2312"/>
                <w:sz w:val="24"/>
                <w:szCs w:val="28"/>
              </w:rPr>
              <w:t>其它或无不得分。</w:t>
            </w:r>
          </w:p>
          <w:p>
            <w:pPr>
              <w:tabs>
                <w:tab w:val="left" w:pos="1302"/>
              </w:tabs>
              <w:snapToGrid w:val="0"/>
              <w:rPr>
                <w:rFonts w:ascii="宋体" w:hAnsi="宋体" w:cs="Arial"/>
                <w:szCs w:val="21"/>
              </w:rPr>
            </w:pPr>
            <w:r>
              <w:rPr>
                <w:rFonts w:hint="eastAsia" w:ascii="仿宋_GB2312" w:hAnsi="宋体" w:eastAsia="仿宋_GB2312"/>
                <w:sz w:val="24"/>
                <w:szCs w:val="28"/>
              </w:rPr>
              <w:t>备注：提供有效期内的守合同重信用企业证书复印件和公开信息中查询的路径并打印公布的链接信息资料，</w:t>
            </w:r>
            <w:r>
              <w:rPr>
                <w:rFonts w:ascii="仿宋_GB2312" w:hAnsi="宋体" w:eastAsia="仿宋_GB2312"/>
                <w:sz w:val="24"/>
                <w:szCs w:val="28"/>
              </w:rPr>
              <w:t>公开信息中无法查询或与公开信息不一致的，响应人必须提供发证机构出具的证明函</w:t>
            </w:r>
            <w:r>
              <w:rPr>
                <w:rFonts w:hint="eastAsia" w:ascii="仿宋_GB2312" w:hAnsi="宋体" w:eastAsia="仿宋_GB2312"/>
                <w:sz w:val="24"/>
                <w:szCs w:val="28"/>
              </w:rPr>
              <w:t>。</w:t>
            </w:r>
          </w:p>
        </w:tc>
        <w:tc>
          <w:tcPr>
            <w:tcW w:w="709" w:type="dxa"/>
            <w:tcBorders>
              <w:right w:val="single" w:color="auto" w:sz="12" w:space="0"/>
            </w:tcBorders>
            <w:vAlign w:val="center"/>
          </w:tcPr>
          <w:p>
            <w:pPr>
              <w:ind w:firstLine="120" w:firstLineChars="50"/>
              <w:jc w:val="center"/>
              <w:rPr>
                <w:rFonts w:ascii="仿宋_GB2312" w:hAnsi="宋体" w:eastAsia="仿宋_GB2312"/>
                <w:bCs/>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continue"/>
            <w:tcBorders>
              <w:left w:val="single" w:color="auto" w:sz="12" w:space="0"/>
            </w:tcBorders>
            <w:vAlign w:val="center"/>
          </w:tcPr>
          <w:p>
            <w:pPr>
              <w:tabs>
                <w:tab w:val="left" w:pos="49"/>
                <w:tab w:val="left" w:pos="191"/>
              </w:tabs>
              <w:jc w:val="center"/>
              <w:rPr>
                <w:rFonts w:ascii="仿宋_GB2312" w:hAnsi="宋体" w:eastAsia="仿宋_GB2312" w:cs="宋体"/>
                <w:sz w:val="24"/>
                <w:szCs w:val="28"/>
              </w:rPr>
            </w:pPr>
          </w:p>
        </w:tc>
        <w:tc>
          <w:tcPr>
            <w:tcW w:w="1566" w:type="dxa"/>
            <w:vMerge w:val="continue"/>
            <w:vAlign w:val="center"/>
          </w:tcPr>
          <w:p>
            <w:pPr>
              <w:snapToGrid w:val="0"/>
              <w:ind w:right="-67" w:rightChars="-32"/>
              <w:jc w:val="center"/>
              <w:rPr>
                <w:rFonts w:ascii="仿宋_GB2312" w:hAnsi="宋体" w:eastAsia="仿宋_GB2312"/>
                <w:sz w:val="24"/>
                <w:szCs w:val="28"/>
              </w:rPr>
            </w:pPr>
          </w:p>
        </w:tc>
        <w:tc>
          <w:tcPr>
            <w:tcW w:w="765" w:type="dxa"/>
            <w:gridSpan w:val="2"/>
            <w:vAlign w:val="center"/>
          </w:tcPr>
          <w:p>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7</w:t>
            </w:r>
          </w:p>
        </w:tc>
        <w:tc>
          <w:tcPr>
            <w:tcW w:w="5465" w:type="dxa"/>
            <w:vAlign w:val="center"/>
          </w:tcPr>
          <w:p>
            <w:pPr>
              <w:ind w:right="-88" w:rightChars="-42"/>
              <w:rPr>
                <w:rFonts w:ascii="仿宋_GB2312" w:hAnsi="宋体" w:eastAsia="仿宋_GB2312"/>
                <w:sz w:val="24"/>
                <w:szCs w:val="28"/>
              </w:rPr>
            </w:pPr>
            <w:r>
              <w:rPr>
                <w:rFonts w:hint="eastAsia" w:ascii="仿宋_GB2312" w:hAnsi="宋体" w:eastAsia="仿宋_GB2312"/>
                <w:sz w:val="24"/>
                <w:szCs w:val="28"/>
              </w:rPr>
              <w:t>自营业以来未发生食品安全事故，得7分；</w:t>
            </w:r>
          </w:p>
          <w:p>
            <w:pPr>
              <w:ind w:right="-88" w:rightChars="-42"/>
              <w:rPr>
                <w:rFonts w:ascii="仿宋_GB2312" w:hAnsi="宋体" w:eastAsia="仿宋_GB2312"/>
                <w:sz w:val="24"/>
                <w:szCs w:val="28"/>
              </w:rPr>
            </w:pPr>
            <w:r>
              <w:rPr>
                <w:rFonts w:hint="eastAsia" w:ascii="仿宋_GB2312" w:hAnsi="宋体" w:eastAsia="仿宋_GB2312"/>
                <w:sz w:val="24"/>
                <w:szCs w:val="28"/>
              </w:rPr>
              <w:t>发生1起食品安全事故，得2分；</w:t>
            </w:r>
          </w:p>
          <w:p>
            <w:pPr>
              <w:ind w:right="-88" w:rightChars="-42"/>
              <w:rPr>
                <w:rFonts w:ascii="仿宋_GB2312" w:hAnsi="宋体" w:eastAsia="仿宋_GB2312"/>
                <w:sz w:val="24"/>
                <w:szCs w:val="28"/>
              </w:rPr>
            </w:pPr>
            <w:r>
              <w:rPr>
                <w:rFonts w:hint="eastAsia" w:ascii="仿宋_GB2312" w:hAnsi="宋体" w:eastAsia="仿宋_GB2312"/>
                <w:sz w:val="24"/>
                <w:szCs w:val="28"/>
              </w:rPr>
              <w:t>连续发生2起及以上食品安全事故，不得分。</w:t>
            </w:r>
          </w:p>
          <w:p>
            <w:pPr>
              <w:rPr>
                <w:rFonts w:ascii="宋体" w:hAnsi="宋体" w:cs="宋体"/>
                <w:szCs w:val="21"/>
              </w:rPr>
            </w:pPr>
            <w:r>
              <w:rPr>
                <w:rFonts w:hint="eastAsia" w:ascii="仿宋_GB2312" w:hAnsi="宋体" w:eastAsia="仿宋_GB2312"/>
                <w:b/>
                <w:bCs/>
                <w:sz w:val="24"/>
                <w:szCs w:val="28"/>
              </w:rPr>
              <w:t>注：须提供承诺函原件</w:t>
            </w:r>
            <w:r>
              <w:rPr>
                <w:rFonts w:hint="eastAsia" w:ascii="仿宋_GB2312" w:hAnsi="宋体" w:eastAsia="仿宋_GB2312"/>
                <w:sz w:val="24"/>
                <w:szCs w:val="28"/>
              </w:rPr>
              <w:t>。</w:t>
            </w:r>
          </w:p>
        </w:tc>
        <w:tc>
          <w:tcPr>
            <w:tcW w:w="709" w:type="dxa"/>
            <w:tcBorders>
              <w:right w:val="single" w:color="auto" w:sz="12" w:space="0"/>
            </w:tcBorders>
            <w:vAlign w:val="center"/>
          </w:tcPr>
          <w:p>
            <w:pPr>
              <w:ind w:left="4800" w:hanging="4800" w:hangingChars="2000"/>
              <w:jc w:val="center"/>
              <w:rPr>
                <w:rFonts w:ascii="仿宋_GB2312" w:hAnsi="宋体" w:eastAsia="仿宋_GB2312"/>
                <w:bCs/>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left w:val="single" w:color="auto" w:sz="12" w:space="0"/>
              <w:bottom w:val="single" w:color="auto" w:sz="12" w:space="0"/>
              <w:right w:val="single" w:color="auto" w:sz="8" w:space="0"/>
            </w:tcBorders>
            <w:vAlign w:val="center"/>
          </w:tcPr>
          <w:p>
            <w:pPr>
              <w:jc w:val="center"/>
              <w:rPr>
                <w:rFonts w:ascii="仿宋_GB2312" w:hAnsi="宋体" w:eastAsia="仿宋_GB2312" w:cs="宋体"/>
                <w:b/>
                <w:sz w:val="24"/>
              </w:rPr>
            </w:pPr>
            <w:r>
              <w:rPr>
                <w:rFonts w:hint="eastAsia" w:ascii="仿宋_GB2312" w:hAnsi="宋体" w:eastAsia="仿宋_GB2312" w:cs="宋体"/>
                <w:b/>
                <w:sz w:val="24"/>
              </w:rPr>
              <w:t>三</w:t>
            </w:r>
          </w:p>
        </w:tc>
        <w:tc>
          <w:tcPr>
            <w:tcW w:w="8505" w:type="dxa"/>
            <w:gridSpan w:val="5"/>
            <w:tcBorders>
              <w:left w:val="single" w:color="auto" w:sz="8" w:space="0"/>
              <w:bottom w:val="single" w:color="auto" w:sz="12" w:space="0"/>
              <w:right w:val="single" w:color="auto" w:sz="12"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价格部分（合计20分）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24" w:type="dxa"/>
            <w:tcBorders>
              <w:left w:val="single" w:color="auto" w:sz="12" w:space="0"/>
              <w:bottom w:val="single" w:color="auto" w:sz="12" w:space="0"/>
              <w:right w:val="single" w:color="auto" w:sz="8" w:space="0"/>
            </w:tcBorders>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tcBorders>
              <w:left w:val="single" w:color="auto" w:sz="8" w:space="0"/>
              <w:bottom w:val="single" w:color="auto" w:sz="12" w:space="0"/>
            </w:tcBorders>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响应报价</w:t>
            </w:r>
          </w:p>
        </w:tc>
        <w:tc>
          <w:tcPr>
            <w:tcW w:w="765" w:type="dxa"/>
            <w:gridSpan w:val="2"/>
            <w:tcBorders>
              <w:bottom w:val="single" w:color="auto" w:sz="12" w:space="0"/>
            </w:tcBorders>
            <w:vAlign w:val="center"/>
          </w:tcPr>
          <w:p>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465" w:type="dxa"/>
            <w:tcBorders>
              <w:bottom w:val="single" w:color="auto" w:sz="12" w:space="0"/>
            </w:tcBorders>
            <w:vAlign w:val="center"/>
          </w:tcPr>
          <w:p>
            <w:pPr>
              <w:autoSpaceDE w:val="0"/>
              <w:autoSpaceDN w:val="0"/>
              <w:adjustRightInd w:val="0"/>
              <w:snapToGrid w:val="0"/>
              <w:rPr>
                <w:rFonts w:ascii="仿宋_GB2312" w:hAnsi="宋体" w:eastAsia="仿宋_GB2312" w:cs="宋体"/>
                <w:sz w:val="24"/>
                <w:szCs w:val="28"/>
              </w:rPr>
            </w:pPr>
            <w:r>
              <w:rPr>
                <w:rFonts w:ascii="仿宋_GB2312" w:hAnsi="宋体" w:eastAsia="仿宋_GB2312" w:cs="宋体"/>
                <w:sz w:val="24"/>
                <w:szCs w:val="28"/>
              </w:rPr>
              <w:t>价格分</w:t>
            </w:r>
            <w:r>
              <w:rPr>
                <w:rFonts w:hint="eastAsia" w:ascii="仿宋_GB2312" w:hAnsi="宋体" w:eastAsia="仿宋_GB2312" w:cs="宋体"/>
                <w:sz w:val="24"/>
                <w:szCs w:val="28"/>
              </w:rPr>
              <w:t>应当采用低价优先法计算，即满足招标文件要求且响应价格最低的响应报价为评标基准价，其价格分为满分。其他响应人的价格分统一按照下列公式计算：</w:t>
            </w:r>
          </w:p>
          <w:p>
            <w:pPr>
              <w:widowControl/>
              <w:adjustRightInd w:val="0"/>
              <w:snapToGrid w:val="0"/>
              <w:ind w:firstLine="360" w:firstLineChars="150"/>
              <w:jc w:val="left"/>
              <w:rPr>
                <w:rFonts w:ascii="仿宋_GB2312" w:hAnsi="宋体" w:eastAsia="仿宋_GB2312" w:cs="宋体"/>
                <w:sz w:val="24"/>
                <w:szCs w:val="28"/>
              </w:rPr>
            </w:pPr>
            <w:r>
              <w:rPr>
                <w:rFonts w:hint="eastAsia" w:ascii="仿宋_GB2312" w:hAnsi="宋体" w:eastAsia="仿宋_GB2312" w:cs="宋体"/>
                <w:sz w:val="24"/>
                <w:szCs w:val="28"/>
              </w:rPr>
              <w:t>响应报价得分=(评标基准价／响应报价)×100×价格权重。</w:t>
            </w:r>
          </w:p>
          <w:p>
            <w:pPr>
              <w:widowControl/>
              <w:adjustRightInd w:val="0"/>
              <w:snapToGrid w:val="0"/>
              <w:jc w:val="left"/>
              <w:rPr>
                <w:rFonts w:ascii="仿宋_GB2312" w:hAnsi="宋体" w:eastAsia="仿宋_GB2312" w:cs="宋体"/>
                <w:sz w:val="24"/>
                <w:szCs w:val="28"/>
              </w:rPr>
            </w:pPr>
            <w:r>
              <w:rPr>
                <w:rFonts w:hint="eastAsia" w:ascii="仿宋_GB2312" w:hAnsi="宋体" w:eastAsia="仿宋_GB2312" w:cs="宋体"/>
                <w:sz w:val="24"/>
                <w:szCs w:val="28"/>
              </w:rPr>
              <w:t>备注：</w:t>
            </w:r>
          </w:p>
          <w:p>
            <w:pPr>
              <w:widowControl/>
              <w:adjustRightInd w:val="0"/>
              <w:snapToGrid w:val="0"/>
              <w:jc w:val="left"/>
              <w:rPr>
                <w:rFonts w:ascii="仿宋_GB2312" w:hAnsi="宋体" w:eastAsia="仿宋_GB2312" w:cs="宋体"/>
                <w:sz w:val="24"/>
                <w:szCs w:val="28"/>
              </w:rPr>
            </w:pPr>
            <w:r>
              <w:rPr>
                <w:rFonts w:hint="eastAsia" w:ascii="仿宋_GB2312" w:hAnsi="宋体" w:eastAsia="仿宋_GB2312" w:cs="宋体"/>
                <w:sz w:val="24"/>
                <w:szCs w:val="28"/>
              </w:rPr>
              <w:t>1、因落实政府采购政策进行价格调整的，以调整后的价格计算评标基准价和响应报价,详见《价格扣除》。</w:t>
            </w:r>
          </w:p>
          <w:p>
            <w:pPr>
              <w:jc w:val="left"/>
              <w:rPr>
                <w:rFonts w:ascii="仿宋_GB2312" w:hAnsi="宋体" w:eastAsia="仿宋_GB2312" w:cs="宋体"/>
                <w:sz w:val="24"/>
                <w:szCs w:val="28"/>
              </w:rPr>
            </w:pPr>
            <w:r>
              <w:rPr>
                <w:rFonts w:hint="eastAsia" w:ascii="仿宋_GB2312" w:hAnsi="宋体" w:eastAsia="仿宋_GB2312" w:cs="宋体"/>
                <w:sz w:val="24"/>
                <w:szCs w:val="28"/>
              </w:rPr>
              <w:t>2、响应报价得分四舍五入后，小数点后保留两位有效数；</w:t>
            </w:r>
          </w:p>
        </w:tc>
        <w:tc>
          <w:tcPr>
            <w:tcW w:w="709" w:type="dxa"/>
            <w:tcBorders>
              <w:bottom w:val="single" w:color="auto" w:sz="12" w:space="0"/>
              <w:right w:val="single" w:color="auto" w:sz="12" w:space="0"/>
            </w:tcBorders>
            <w:vAlign w:val="center"/>
          </w:tcPr>
          <w:p>
            <w:pPr>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2290" w:type="dxa"/>
            <w:gridSpan w:val="2"/>
            <w:tcBorders>
              <w:left w:val="single" w:color="auto" w:sz="12" w:space="0"/>
              <w:bottom w:val="single" w:color="auto" w:sz="12" w:space="0"/>
            </w:tcBorders>
            <w:vAlign w:val="center"/>
          </w:tcPr>
          <w:p>
            <w:pPr>
              <w:jc w:val="center"/>
              <w:rPr>
                <w:rFonts w:ascii="仿宋_GB2312" w:hAnsi="宋体" w:eastAsia="仿宋_GB2312" w:cs="宋体"/>
                <w:b/>
                <w:sz w:val="24"/>
                <w:szCs w:val="28"/>
              </w:rPr>
            </w:pPr>
            <w:r>
              <w:rPr>
                <w:rFonts w:hint="eastAsia" w:ascii="仿宋_GB2312" w:hAnsi="宋体" w:eastAsia="仿宋_GB2312" w:cs="宋体"/>
                <w:b/>
                <w:sz w:val="24"/>
                <w:szCs w:val="28"/>
              </w:rPr>
              <w:t>合计</w:t>
            </w:r>
          </w:p>
        </w:tc>
        <w:tc>
          <w:tcPr>
            <w:tcW w:w="6939" w:type="dxa"/>
            <w:gridSpan w:val="4"/>
            <w:tcBorders>
              <w:bottom w:val="single" w:color="auto" w:sz="12" w:space="0"/>
              <w:right w:val="single" w:color="auto" w:sz="12" w:space="0"/>
            </w:tcBorders>
            <w:vAlign w:val="center"/>
          </w:tcPr>
          <w:p>
            <w:pPr>
              <w:jc w:val="center"/>
              <w:rPr>
                <w:rFonts w:ascii="仿宋_GB2312" w:hAnsi="宋体" w:eastAsia="仿宋_GB2312" w:cs="宋体"/>
                <w:sz w:val="24"/>
              </w:rPr>
            </w:pPr>
            <w:r>
              <w:rPr>
                <w:rFonts w:ascii="仿宋_GB2312" w:hAnsi="宋体" w:eastAsia="仿宋_GB2312" w:cs="宋体"/>
                <w:sz w:val="24"/>
                <w:u w:val="single"/>
              </w:rPr>
              <w:t xml:space="preserve">      </w:t>
            </w:r>
            <w:r>
              <w:rPr>
                <w:rFonts w:hint="eastAsia" w:ascii="仿宋_GB2312" w:hAnsi="宋体" w:eastAsia="仿宋_GB2312" w:cs="宋体"/>
                <w:sz w:val="24"/>
              </w:rPr>
              <w:t>分</w:t>
            </w:r>
          </w:p>
        </w:tc>
      </w:tr>
    </w:tbl>
    <w:p>
      <w:pPr>
        <w:spacing w:line="360" w:lineRule="auto"/>
        <w:rPr>
          <w:rFonts w:ascii="仿宋_GB2312" w:hAnsi="宋体" w:eastAsia="仿宋_GB2312"/>
          <w:sz w:val="24"/>
          <w:szCs w:val="28"/>
        </w:rPr>
      </w:pPr>
    </w:p>
    <w:p>
      <w:pPr>
        <w:spacing w:line="360" w:lineRule="auto"/>
        <w:jc w:val="center"/>
        <w:rPr>
          <w:rFonts w:ascii="方正小标宋简体" w:hAnsi="宋体" w:eastAsia="方正小标宋简体" w:cs="Tahoma"/>
          <w:b/>
          <w:spacing w:val="20"/>
          <w:sz w:val="36"/>
          <w:szCs w:val="32"/>
        </w:rPr>
      </w:pPr>
      <w:r>
        <w:rPr>
          <w:rFonts w:ascii="仿宋_GB2312" w:hAnsi="宋体" w:eastAsia="仿宋_GB2312"/>
          <w:sz w:val="24"/>
          <w:szCs w:val="28"/>
        </w:rPr>
        <w:br w:type="page"/>
      </w:r>
      <w:bookmarkEnd w:id="84"/>
      <w:bookmarkEnd w:id="85"/>
      <w:bookmarkEnd w:id="86"/>
      <w:bookmarkStart w:id="156" w:name="_Toc130180739"/>
      <w:bookmarkStart w:id="157" w:name="_Toc238282340"/>
      <w:bookmarkStart w:id="158" w:name="_Toc533236394"/>
      <w:bookmarkStart w:id="159" w:name="_Toc130180844"/>
      <w:bookmarkStart w:id="160" w:name="_Toc130180925"/>
      <w:r>
        <w:rPr>
          <w:rFonts w:hint="eastAsia" w:ascii="方正小标宋简体" w:hAnsi="宋体" w:eastAsia="方正小标宋简体" w:cs="Tahoma"/>
          <w:b/>
          <w:spacing w:val="20"/>
          <w:sz w:val="36"/>
          <w:szCs w:val="32"/>
        </w:rPr>
        <w:t>第五章</w:t>
      </w:r>
      <w:r>
        <w:rPr>
          <w:rFonts w:ascii="方正小标宋简体" w:hAnsi="宋体" w:eastAsia="方正小标宋简体" w:cs="Tahoma"/>
          <w:b/>
          <w:spacing w:val="20"/>
          <w:sz w:val="36"/>
          <w:szCs w:val="32"/>
        </w:rPr>
        <w:t xml:space="preserve"> </w:t>
      </w:r>
      <w:r>
        <w:rPr>
          <w:rFonts w:hint="eastAsia" w:ascii="方正小标宋简体" w:hAnsi="宋体" w:eastAsia="方正小标宋简体" w:cs="Tahoma"/>
          <w:b/>
          <w:spacing w:val="20"/>
          <w:sz w:val="36"/>
          <w:szCs w:val="32"/>
        </w:rPr>
        <w:t>响应文件格式</w:t>
      </w:r>
    </w:p>
    <w:bookmarkEnd w:id="156"/>
    <w:bookmarkEnd w:id="157"/>
    <w:bookmarkEnd w:id="158"/>
    <w:bookmarkEnd w:id="159"/>
    <w:bookmarkEnd w:id="160"/>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161" w:name="_Toc35617598"/>
      <w:bookmarkStart w:id="162" w:name="_Toc130139098"/>
      <w:r>
        <w:rPr>
          <w:rFonts w:hint="eastAsia" w:ascii="方正小标宋简体" w:hAnsi="宋体" w:eastAsia="方正小标宋简体" w:cs="Tahoma"/>
          <w:b w:val="0"/>
          <w:spacing w:val="20"/>
          <w:sz w:val="36"/>
          <w:szCs w:val="32"/>
        </w:rPr>
        <w:t>提供资料一览表</w:t>
      </w:r>
      <w:bookmarkEnd w:id="161"/>
    </w:p>
    <w:tbl>
      <w:tblPr>
        <w:tblStyle w:val="36"/>
        <w:tblW w:w="9228" w:type="dxa"/>
        <w:tblInd w:w="94" w:type="dxa"/>
        <w:tblLayout w:type="fixed"/>
        <w:tblCellMar>
          <w:top w:w="0" w:type="dxa"/>
          <w:left w:w="108" w:type="dxa"/>
          <w:bottom w:w="0" w:type="dxa"/>
          <w:right w:w="108" w:type="dxa"/>
        </w:tblCellMar>
      </w:tblPr>
      <w:tblGrid>
        <w:gridCol w:w="723"/>
        <w:gridCol w:w="6237"/>
        <w:gridCol w:w="851"/>
        <w:gridCol w:w="818"/>
        <w:gridCol w:w="599"/>
      </w:tblGrid>
      <w:tr>
        <w:tblPrEx>
          <w:tblCellMar>
            <w:top w:w="0" w:type="dxa"/>
            <w:left w:w="108" w:type="dxa"/>
            <w:bottom w:w="0" w:type="dxa"/>
            <w:right w:w="108" w:type="dxa"/>
          </w:tblCellMar>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DD9C3"/>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序号</w:t>
            </w:r>
          </w:p>
        </w:tc>
        <w:tc>
          <w:tcPr>
            <w:tcW w:w="6237" w:type="dxa"/>
            <w:tcBorders>
              <w:top w:val="single" w:color="auto" w:sz="12" w:space="0"/>
              <w:left w:val="nil"/>
              <w:bottom w:val="single" w:color="auto" w:sz="4" w:space="0"/>
              <w:right w:val="single" w:color="auto" w:sz="4" w:space="0"/>
            </w:tcBorders>
            <w:shd w:val="clear" w:color="auto" w:fill="DDD9C3"/>
            <w:vAlign w:val="center"/>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内</w:t>
            </w:r>
            <w:r>
              <w:rPr>
                <w:rFonts w:hint="eastAsia" w:ascii="仿宋_GB2312" w:hAnsi="宋体" w:eastAsia="仿宋_GB2312"/>
                <w:b/>
                <w:bCs/>
                <w:kern w:val="0"/>
                <w:sz w:val="24"/>
                <w:szCs w:val="28"/>
              </w:rPr>
              <w:t xml:space="preserve">      </w:t>
            </w:r>
            <w:r>
              <w:rPr>
                <w:rFonts w:hint="eastAsia" w:ascii="仿宋_GB2312" w:hAnsi="宋体" w:eastAsia="仿宋_GB2312" w:cs="宋体"/>
                <w:b/>
                <w:bCs/>
                <w:kern w:val="0"/>
                <w:sz w:val="24"/>
                <w:szCs w:val="28"/>
              </w:rPr>
              <w:t>容</w:t>
            </w:r>
          </w:p>
        </w:tc>
        <w:tc>
          <w:tcPr>
            <w:tcW w:w="851" w:type="dxa"/>
            <w:tcBorders>
              <w:top w:val="single" w:color="auto" w:sz="12" w:space="0"/>
              <w:left w:val="nil"/>
              <w:bottom w:val="single" w:color="auto" w:sz="4" w:space="0"/>
              <w:right w:val="single" w:color="auto" w:sz="4" w:space="0"/>
            </w:tcBorders>
            <w:shd w:val="clear" w:color="auto" w:fill="DDD9C3"/>
            <w:vAlign w:val="bottom"/>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是否提交</w:t>
            </w:r>
          </w:p>
        </w:tc>
        <w:tc>
          <w:tcPr>
            <w:tcW w:w="818" w:type="dxa"/>
            <w:tcBorders>
              <w:top w:val="single" w:color="auto" w:sz="12" w:space="0"/>
              <w:left w:val="nil"/>
              <w:bottom w:val="single" w:color="auto" w:sz="4" w:space="0"/>
              <w:right w:val="single" w:color="auto" w:sz="4" w:space="0"/>
            </w:tcBorders>
            <w:shd w:val="clear" w:color="auto" w:fill="DDD9C3"/>
            <w:vAlign w:val="bottom"/>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页码范围</w:t>
            </w:r>
          </w:p>
        </w:tc>
        <w:tc>
          <w:tcPr>
            <w:tcW w:w="599" w:type="dxa"/>
            <w:tcBorders>
              <w:top w:val="single" w:color="auto" w:sz="12" w:space="0"/>
              <w:left w:val="nil"/>
              <w:bottom w:val="single" w:color="auto" w:sz="4" w:space="0"/>
              <w:right w:val="single" w:color="auto" w:sz="12" w:space="0"/>
            </w:tcBorders>
            <w:shd w:val="clear" w:color="auto" w:fill="DDD9C3"/>
            <w:vAlign w:val="center"/>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备注</w:t>
            </w: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一</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响应报价文件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1.1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响应函（格式</w:t>
            </w:r>
            <w:r>
              <w:rPr>
                <w:rFonts w:hint="eastAsia" w:ascii="仿宋_GB2312" w:hAnsi="宋体" w:eastAsia="仿宋_GB2312"/>
                <w:kern w:val="0"/>
                <w:sz w:val="24"/>
                <w:szCs w:val="28"/>
              </w:rPr>
              <w:t>1</w:t>
            </w:r>
            <w:r>
              <w:rPr>
                <w:rFonts w:hint="eastAsia" w:ascii="仿宋_GB2312" w:hAnsi="宋体" w:eastAsia="仿宋_GB2312" w:cs="宋体"/>
                <w:kern w:val="0"/>
                <w:sz w:val="24"/>
                <w:szCs w:val="28"/>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0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二</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资格性、符合性审查文件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19"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法定代表人证明及授权书(格式2)</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资格声明函</w:t>
            </w:r>
            <w:r>
              <w:rPr>
                <w:rFonts w:hint="eastAsia" w:ascii="仿宋_GB2312" w:hAnsi="宋体" w:eastAsia="仿宋_GB2312"/>
                <w:kern w:val="0"/>
                <w:sz w:val="24"/>
                <w:szCs w:val="28"/>
              </w:rPr>
              <w:t>(</w:t>
            </w:r>
            <w:r>
              <w:rPr>
                <w:rFonts w:hint="eastAsia" w:ascii="仿宋_GB2312" w:hAnsi="宋体" w:eastAsia="仿宋_GB2312" w:cs="宋体"/>
                <w:kern w:val="0"/>
                <w:sz w:val="24"/>
                <w:szCs w:val="28"/>
              </w:rPr>
              <w:t>格式</w:t>
            </w:r>
            <w:r>
              <w:rPr>
                <w:rFonts w:hint="eastAsia" w:ascii="仿宋_GB2312" w:hAnsi="宋体" w:eastAsia="仿宋_GB2312"/>
                <w:kern w:val="0"/>
                <w:sz w:val="24"/>
                <w:szCs w:val="28"/>
              </w:rPr>
              <w:t>3)</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2.3</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响应人营业执照或事业法人证书副本复印件（经年检合格）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2.4</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组织机构代码证，国、地税务登记证副本复印件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2.5</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其他资格证明文件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285"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三</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商务文件目录表</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3.1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商务评审索引表</w:t>
            </w:r>
            <w:r>
              <w:rPr>
                <w:rFonts w:hint="eastAsia" w:ascii="仿宋_GB2312" w:hAnsi="宋体" w:eastAsia="仿宋_GB2312"/>
                <w:kern w:val="0"/>
                <w:sz w:val="24"/>
                <w:szCs w:val="28"/>
              </w:rPr>
              <w:t>（格式5）</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kern w:val="0"/>
                <w:sz w:val="24"/>
                <w:szCs w:val="28"/>
              </w:rPr>
              <w:t>同意采购文件条款说明（格式6）</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CellMar>
            <w:top w:w="0" w:type="dxa"/>
            <w:left w:w="108" w:type="dxa"/>
            <w:bottom w:w="0" w:type="dxa"/>
            <w:right w:w="108" w:type="dxa"/>
          </w:tblCellMar>
        </w:tblPrEx>
        <w:trPr>
          <w:trHeight w:val="191"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3.3</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响应人简介</w:t>
            </w:r>
            <w:r>
              <w:rPr>
                <w:rFonts w:hint="eastAsia" w:ascii="仿宋_GB2312" w:hAnsi="宋体" w:eastAsia="仿宋_GB2312"/>
                <w:kern w:val="0"/>
                <w:sz w:val="24"/>
                <w:szCs w:val="28"/>
              </w:rPr>
              <w:t>和信誉方面的证明材料</w:t>
            </w:r>
            <w:r>
              <w:rPr>
                <w:rFonts w:hint="eastAsia" w:ascii="仿宋_GB2312" w:hAnsi="宋体" w:eastAsia="仿宋_GB2312" w:cs="宋体"/>
                <w:kern w:val="0"/>
                <w:sz w:val="24"/>
                <w:szCs w:val="28"/>
              </w:rPr>
              <w:t>（格式自定）</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1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99"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155"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3.4</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kern w:val="0"/>
                <w:sz w:val="24"/>
                <w:szCs w:val="28"/>
              </w:rPr>
              <w:t>2020年至今同类项目业绩情况一览表（格式7）</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1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99"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205"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w:t>
            </w:r>
            <w:r>
              <w:rPr>
                <w:rFonts w:ascii="仿宋_GB2312" w:hAnsi="宋体" w:eastAsia="仿宋_GB2312"/>
                <w:kern w:val="0"/>
                <w:sz w:val="24"/>
                <w:szCs w:val="28"/>
              </w:rPr>
              <w:t>5</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cs="宋体"/>
                <w:kern w:val="0"/>
                <w:sz w:val="24"/>
                <w:szCs w:val="28"/>
              </w:rPr>
              <w:t>响应人认为需要提交的其他资料</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1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99"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85"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cs="宋体"/>
                <w:b/>
                <w:bCs/>
                <w:kern w:val="0"/>
                <w:sz w:val="24"/>
                <w:szCs w:val="28"/>
              </w:rPr>
              <w:t>四</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b/>
                <w:bCs/>
                <w:kern w:val="0"/>
                <w:sz w:val="24"/>
                <w:szCs w:val="28"/>
              </w:rPr>
              <w:t>服务方案文件目录表</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299"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响应服务方案（格式</w:t>
            </w:r>
            <w:r>
              <w:rPr>
                <w:rFonts w:ascii="仿宋_GB2312" w:hAnsi="宋体" w:eastAsia="仿宋_GB2312"/>
                <w:sz w:val="24"/>
                <w:szCs w:val="28"/>
              </w:rPr>
              <w:t>8</w:t>
            </w:r>
            <w:r>
              <w:rPr>
                <w:rFonts w:hint="eastAsia" w:ascii="仿宋_GB2312" w:hAnsi="宋体" w:eastAsia="仿宋_GB2312"/>
                <w:sz w:val="24"/>
                <w:szCs w:val="28"/>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11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与采购人需求差异表（格式</w:t>
            </w:r>
            <w:r>
              <w:rPr>
                <w:rFonts w:ascii="仿宋_GB2312" w:hAnsi="宋体" w:eastAsia="仿宋_GB2312"/>
                <w:sz w:val="24"/>
                <w:szCs w:val="28"/>
              </w:rPr>
              <w:t>9</w:t>
            </w:r>
            <w:r>
              <w:rPr>
                <w:rFonts w:hint="eastAsia" w:ascii="仿宋_GB2312" w:hAnsi="宋体" w:eastAsia="仿宋_GB2312"/>
                <w:sz w:val="24"/>
                <w:szCs w:val="28"/>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99"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12"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4.3</w:t>
            </w:r>
          </w:p>
        </w:tc>
        <w:tc>
          <w:tcPr>
            <w:tcW w:w="6237" w:type="dxa"/>
            <w:tcBorders>
              <w:top w:val="single" w:color="auto" w:sz="4" w:space="0"/>
              <w:left w:val="nil"/>
              <w:bottom w:val="single" w:color="auto" w:sz="12"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响应人认为需要提交的其他资料</w:t>
            </w:r>
          </w:p>
        </w:tc>
        <w:tc>
          <w:tcPr>
            <w:tcW w:w="851" w:type="dxa"/>
            <w:tcBorders>
              <w:top w:val="single" w:color="auto" w:sz="4" w:space="0"/>
              <w:left w:val="nil"/>
              <w:bottom w:val="single" w:color="auto" w:sz="12" w:space="0"/>
              <w:right w:val="single" w:color="auto" w:sz="4" w:space="0"/>
            </w:tcBorders>
            <w:vAlign w:val="center"/>
          </w:tcPr>
          <w:p>
            <w:pPr>
              <w:widowControl/>
              <w:jc w:val="center"/>
              <w:rPr>
                <w:rFonts w:ascii="仿宋_GB2312" w:hAnsi="宋体" w:eastAsia="仿宋_GB2312"/>
                <w:kern w:val="0"/>
                <w:sz w:val="24"/>
                <w:szCs w:val="28"/>
              </w:rPr>
            </w:pPr>
          </w:p>
        </w:tc>
        <w:tc>
          <w:tcPr>
            <w:tcW w:w="818" w:type="dxa"/>
            <w:tcBorders>
              <w:top w:val="single" w:color="auto" w:sz="4" w:space="0"/>
              <w:left w:val="nil"/>
              <w:bottom w:val="single" w:color="auto" w:sz="12" w:space="0"/>
              <w:right w:val="single" w:color="auto" w:sz="4" w:space="0"/>
            </w:tcBorders>
            <w:vAlign w:val="center"/>
          </w:tcPr>
          <w:p>
            <w:pPr>
              <w:widowControl/>
              <w:jc w:val="center"/>
              <w:rPr>
                <w:rFonts w:ascii="仿宋_GB2312" w:hAnsi="宋体" w:eastAsia="仿宋_GB2312"/>
                <w:kern w:val="0"/>
                <w:sz w:val="24"/>
                <w:szCs w:val="28"/>
              </w:rPr>
            </w:pPr>
          </w:p>
        </w:tc>
        <w:tc>
          <w:tcPr>
            <w:tcW w:w="599" w:type="dxa"/>
            <w:tcBorders>
              <w:top w:val="single" w:color="auto" w:sz="4" w:space="0"/>
              <w:left w:val="nil"/>
              <w:bottom w:val="single" w:color="auto" w:sz="12" w:space="0"/>
              <w:right w:val="single" w:color="auto" w:sz="12" w:space="0"/>
            </w:tcBorders>
            <w:vAlign w:val="center"/>
          </w:tcPr>
          <w:p>
            <w:pPr>
              <w:widowControl/>
              <w:jc w:val="center"/>
              <w:rPr>
                <w:rFonts w:ascii="仿宋_GB2312" w:hAnsi="宋体" w:eastAsia="仿宋_GB2312"/>
                <w:kern w:val="0"/>
                <w:sz w:val="24"/>
                <w:szCs w:val="28"/>
              </w:rPr>
            </w:pPr>
          </w:p>
        </w:tc>
      </w:tr>
    </w:tbl>
    <w:p>
      <w:pPr>
        <w:pStyle w:val="22"/>
        <w:spacing w:before="240"/>
        <w:ind w:firstLine="0"/>
        <w:rPr>
          <w:rFonts w:ascii="仿宋_GB2312" w:hAnsi="宋体" w:eastAsia="仿宋_GB2312" w:cs="宋体"/>
          <w:kern w:val="0"/>
          <w:szCs w:val="28"/>
        </w:rPr>
      </w:pPr>
      <w:r>
        <w:rPr>
          <w:rFonts w:hint="eastAsia" w:ascii="仿宋_GB2312" w:hAnsi="宋体" w:eastAsia="仿宋_GB2312"/>
          <w:b/>
          <w:bCs/>
          <w:szCs w:val="28"/>
        </w:rPr>
        <w:t>注：</w:t>
      </w:r>
      <w:r>
        <w:rPr>
          <w:rFonts w:hint="eastAsia" w:ascii="仿宋_GB2312" w:hAnsi="宋体" w:eastAsia="仿宋_GB2312" w:cs="宋体"/>
          <w:kern w:val="0"/>
          <w:szCs w:val="28"/>
        </w:rPr>
        <w:t>（1）带“</w:t>
      </w:r>
      <w:r>
        <w:rPr>
          <w:rFonts w:hint="eastAsia" w:ascii="仿宋_GB2312" w:hAnsi="宋体" w:eastAsia="仿宋_GB2312"/>
          <w:bCs/>
          <w:szCs w:val="28"/>
        </w:rPr>
        <w:sym w:font="Wingdings" w:char="F076"/>
      </w:r>
      <w:r>
        <w:rPr>
          <w:rFonts w:hint="eastAsia" w:ascii="仿宋_GB2312" w:hAnsi="宋体" w:eastAsia="仿宋_GB2312" w:cs="宋体"/>
          <w:kern w:val="0"/>
          <w:szCs w:val="28"/>
        </w:rPr>
        <w:t>”文件为必须提供的文件；</w:t>
      </w:r>
    </w:p>
    <w:p>
      <w:pPr>
        <w:pStyle w:val="22"/>
        <w:ind w:firstLine="508" w:firstLineChars="212"/>
        <w:rPr>
          <w:rFonts w:ascii="仿宋_GB2312" w:hAnsi="宋体" w:eastAsia="仿宋_GB2312" w:cs="宋体"/>
          <w:kern w:val="0"/>
          <w:szCs w:val="28"/>
        </w:rPr>
      </w:pPr>
      <w:r>
        <w:rPr>
          <w:rFonts w:hint="eastAsia" w:ascii="仿宋_GB2312" w:hAnsi="宋体" w:eastAsia="仿宋_GB2312" w:cs="宋体"/>
          <w:kern w:val="0"/>
          <w:szCs w:val="28"/>
        </w:rPr>
        <w:t>（2）上述文件如为复印件的，必须加盖响应人公章；</w:t>
      </w:r>
    </w:p>
    <w:p>
      <w:pPr>
        <w:pStyle w:val="22"/>
        <w:ind w:firstLine="470" w:firstLineChars="196"/>
        <w:rPr>
          <w:rFonts w:ascii="仿宋_GB2312" w:hAnsi="宋体" w:eastAsia="仿宋_GB2312" w:cs="宋体"/>
          <w:kern w:val="0"/>
          <w:szCs w:val="28"/>
        </w:rPr>
      </w:pPr>
      <w:r>
        <w:rPr>
          <w:rFonts w:hint="eastAsia" w:ascii="仿宋_GB2312" w:hAnsi="宋体" w:eastAsia="仿宋_GB2312" w:cs="宋体"/>
          <w:kern w:val="0"/>
          <w:szCs w:val="28"/>
        </w:rPr>
        <w:t>（3）响应人应自行承担所提供上述资料任何错漏而导致的一切后果；</w:t>
      </w:r>
    </w:p>
    <w:p>
      <w:pPr>
        <w:pStyle w:val="22"/>
        <w:ind w:firstLine="470" w:firstLineChars="196"/>
        <w:rPr>
          <w:rFonts w:ascii="仿宋_GB2312" w:hAnsi="宋体" w:eastAsia="仿宋_GB2312" w:cs="宋体"/>
          <w:kern w:val="0"/>
          <w:szCs w:val="28"/>
        </w:rPr>
        <w:sectPr>
          <w:footerReference r:id="rId4" w:type="default"/>
          <w:pgSz w:w="11907" w:h="16840"/>
          <w:pgMar w:top="1417" w:right="1304" w:bottom="1361" w:left="1361" w:header="737" w:footer="737" w:gutter="0"/>
          <w:pgNumType w:start="1"/>
          <w:cols w:space="720" w:num="1"/>
          <w:docGrid w:linePitch="285" w:charSpace="0"/>
        </w:sectPr>
      </w:pPr>
      <w:r>
        <w:rPr>
          <w:rFonts w:hint="eastAsia" w:ascii="仿宋_GB2312" w:hAnsi="宋体" w:eastAsia="仿宋_GB2312" w:cs="宋体"/>
          <w:kern w:val="0"/>
          <w:szCs w:val="28"/>
        </w:rPr>
        <w:t>（4）响应人请按照上述顺序编好页码。</w:t>
      </w:r>
    </w:p>
    <w:p>
      <w:pPr>
        <w:snapToGrid w:val="0"/>
        <w:spacing w:before="240" w:line="360" w:lineRule="auto"/>
        <w:outlineLvl w:val="1"/>
        <w:rPr>
          <w:rFonts w:ascii="仿宋_GB2312" w:hAnsi="宋体" w:eastAsia="仿宋_GB2312"/>
          <w:b/>
          <w:sz w:val="32"/>
          <w:szCs w:val="28"/>
        </w:rPr>
      </w:pPr>
      <w:bookmarkStart w:id="163" w:name="_Toc35617599"/>
      <w:bookmarkStart w:id="164" w:name="_Toc334797768"/>
      <w:bookmarkStart w:id="165" w:name="_Toc533236395"/>
      <w:r>
        <w:rPr>
          <w:rFonts w:hint="eastAsia" w:ascii="仿宋_GB2312" w:hAnsi="宋体" w:eastAsia="仿宋_GB2312"/>
          <w:b/>
          <w:sz w:val="32"/>
          <w:szCs w:val="28"/>
        </w:rPr>
        <w:t>格式1：响应函</w:t>
      </w:r>
      <w:bookmarkEnd w:id="163"/>
      <w:r>
        <w:rPr>
          <w:rFonts w:hint="eastAsia" w:ascii="仿宋_GB2312" w:hAnsi="宋体" w:eastAsia="仿宋_GB2312"/>
          <w:b/>
          <w:sz w:val="32"/>
          <w:szCs w:val="28"/>
        </w:rPr>
        <w:t xml:space="preserve"> </w:t>
      </w:r>
      <w:bookmarkEnd w:id="164"/>
      <w:bookmarkEnd w:id="165"/>
    </w:p>
    <w:p>
      <w:pPr>
        <w:spacing w:after="240"/>
        <w:jc w:val="center"/>
        <w:rPr>
          <w:rFonts w:ascii="方正小标宋简体" w:eastAsia="方正小标宋简体"/>
          <w:sz w:val="36"/>
        </w:rPr>
      </w:pPr>
      <w:r>
        <w:rPr>
          <w:rFonts w:hint="eastAsia" w:ascii="方正小标宋简体" w:eastAsia="方正小标宋简体"/>
          <w:sz w:val="36"/>
        </w:rPr>
        <w:t>响 应 函</w:t>
      </w:r>
    </w:p>
    <w:p>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pPr>
        <w:ind w:firstLine="480"/>
        <w:rPr>
          <w:rFonts w:ascii="仿宋_GB2312" w:hAnsi="宋体" w:eastAsia="仿宋_GB2312"/>
          <w:sz w:val="28"/>
          <w:szCs w:val="28"/>
        </w:rPr>
      </w:pPr>
      <w:r>
        <w:rPr>
          <w:rFonts w:hint="eastAsia" w:ascii="仿宋_GB2312" w:hAnsi="宋体" w:eastAsia="仿宋_GB2312"/>
          <w:sz w:val="28"/>
          <w:szCs w:val="28"/>
        </w:rPr>
        <w:t>根据你方</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项目的采购文件要求，现正式授权</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（被授权人职务及名称）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以响应人</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（响应人单位名称）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的名义全权代表我方参加响应上述项目。</w:t>
      </w:r>
    </w:p>
    <w:p>
      <w:pPr>
        <w:ind w:firstLine="480"/>
        <w:rPr>
          <w:rFonts w:ascii="仿宋_GB2312" w:hAnsi="宋体" w:eastAsia="仿宋_GB2312"/>
          <w:sz w:val="28"/>
          <w:szCs w:val="28"/>
        </w:rPr>
      </w:pPr>
      <w:r>
        <w:rPr>
          <w:rFonts w:hint="eastAsia" w:ascii="仿宋_GB2312" w:hAnsi="宋体" w:eastAsia="仿宋_GB2312"/>
          <w:sz w:val="28"/>
          <w:szCs w:val="28"/>
        </w:rPr>
        <w:t>现依照你方采购文件要求，提交响应文件正本</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一 </w:t>
      </w:r>
      <w:r>
        <w:rPr>
          <w:rFonts w:hint="eastAsia" w:ascii="仿宋_GB2312" w:hAnsi="宋体" w:eastAsia="仿宋_GB2312"/>
          <w:sz w:val="28"/>
          <w:szCs w:val="28"/>
        </w:rPr>
        <w:t>份（内装纸质响应文件及响应文件电子文档各1份），副本</w:t>
      </w:r>
      <w:r>
        <w:rPr>
          <w:rFonts w:hint="eastAsia" w:ascii="仿宋_GB2312" w:hAnsi="宋体" w:eastAsia="仿宋_GB2312"/>
          <w:sz w:val="28"/>
          <w:szCs w:val="28"/>
          <w:u w:val="single"/>
        </w:rPr>
        <w:t xml:space="preserve"> 贰 </w:t>
      </w:r>
      <w:r>
        <w:rPr>
          <w:rFonts w:hint="eastAsia" w:ascii="仿宋_GB2312" w:hAnsi="宋体" w:eastAsia="仿宋_GB2312"/>
          <w:sz w:val="28"/>
          <w:szCs w:val="28"/>
        </w:rPr>
        <w:t>份。我方在此声明并同意：</w:t>
      </w:r>
    </w:p>
    <w:p>
      <w:pPr>
        <w:spacing w:before="240"/>
        <w:rPr>
          <w:rFonts w:ascii="仿宋_GB2312" w:hAnsi="宋体" w:eastAsia="仿宋_GB2312"/>
          <w:sz w:val="28"/>
          <w:szCs w:val="28"/>
        </w:rPr>
      </w:pPr>
      <w:r>
        <w:rPr>
          <w:rFonts w:hint="eastAsia" w:ascii="仿宋_GB2312" w:hAnsi="宋体" w:eastAsia="仿宋_GB2312"/>
          <w:sz w:val="28"/>
          <w:szCs w:val="28"/>
        </w:rPr>
        <w:t>1. 我方决定参加响应，响应报价为：</w:t>
      </w:r>
    </w:p>
    <w:tbl>
      <w:tblPr>
        <w:tblStyle w:val="36"/>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3072"/>
        <w:gridCol w:w="51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4" w:type="pct"/>
            <w:shd w:val="clear" w:color="auto" w:fill="DDD9C3"/>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包组号</w:t>
            </w:r>
          </w:p>
        </w:tc>
        <w:tc>
          <w:tcPr>
            <w:tcW w:w="1524" w:type="pct"/>
            <w:shd w:val="clear" w:color="auto" w:fill="DDD9C3"/>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采购内容</w:t>
            </w:r>
          </w:p>
        </w:tc>
        <w:tc>
          <w:tcPr>
            <w:tcW w:w="2541" w:type="pct"/>
            <w:shd w:val="clear" w:color="auto" w:fill="DDD9C3"/>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单价报价</w:t>
            </w:r>
          </w:p>
          <w:p>
            <w:pPr>
              <w:adjustRightInd w:val="0"/>
              <w:snapToGrid w:val="0"/>
              <w:jc w:val="center"/>
              <w:rPr>
                <w:rFonts w:ascii="仿宋_GB2312" w:eastAsia="仿宋_GB2312"/>
                <w:b/>
                <w:sz w:val="24"/>
                <w:szCs w:val="28"/>
              </w:rPr>
            </w:pPr>
            <w:r>
              <w:rPr>
                <w:rFonts w:hint="eastAsia" w:ascii="仿宋_GB2312" w:eastAsia="仿宋_GB2312"/>
                <w:b/>
                <w:sz w:val="24"/>
                <w:szCs w:val="28"/>
              </w:rPr>
              <w:t>（人民币/元）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934" w:type="pct"/>
            <w:vAlign w:val="center"/>
          </w:tcPr>
          <w:p>
            <w:pPr>
              <w:jc w:val="center"/>
              <w:rPr>
                <w:rFonts w:ascii="仿宋_GB2312" w:eastAsia="仿宋_GB2312"/>
                <w:bCs/>
                <w:sz w:val="24"/>
                <w:szCs w:val="28"/>
              </w:rPr>
            </w:pPr>
            <w:r>
              <w:rPr>
                <w:rFonts w:hint="eastAsia" w:ascii="仿宋_GB2312" w:eastAsia="仿宋_GB2312"/>
                <w:bCs/>
                <w:sz w:val="24"/>
                <w:szCs w:val="28"/>
              </w:rPr>
              <w:t>包组一</w:t>
            </w:r>
          </w:p>
        </w:tc>
        <w:tc>
          <w:tcPr>
            <w:tcW w:w="1524" w:type="pct"/>
            <w:vAlign w:val="center"/>
          </w:tcPr>
          <w:p>
            <w:pPr>
              <w:rPr>
                <w:rFonts w:ascii="仿宋_GB2312" w:hAnsi="宋体" w:eastAsia="仿宋_GB2312"/>
                <w:sz w:val="24"/>
                <w:szCs w:val="28"/>
              </w:rPr>
            </w:pPr>
            <w:r>
              <w:rPr>
                <w:rFonts w:hint="eastAsia" w:ascii="仿宋_GB2312" w:hAnsi="宋体" w:eastAsia="仿宋_GB2312"/>
                <w:sz w:val="24"/>
                <w:szCs w:val="28"/>
              </w:rPr>
              <w:sym w:font="Wingdings 2" w:char="00A3"/>
            </w:r>
            <w:r>
              <w:rPr>
                <w:rFonts w:hint="eastAsia" w:ascii="仿宋_GB2312" w:hAnsi="宋体" w:eastAsia="仿宋_GB2312"/>
                <w:sz w:val="24"/>
                <w:szCs w:val="28"/>
              </w:rPr>
              <w:t>早餐+午餐+晚餐</w:t>
            </w:r>
          </w:p>
          <w:p>
            <w:pPr>
              <w:rPr>
                <w:rFonts w:ascii="仿宋_GB2312" w:hAnsi="宋体" w:eastAsia="仿宋_GB2312"/>
                <w:sz w:val="24"/>
                <w:szCs w:val="28"/>
              </w:rPr>
            </w:pPr>
            <w:r>
              <w:rPr>
                <w:rFonts w:hint="eastAsia" w:ascii="仿宋_GB2312" w:hAnsi="宋体" w:eastAsia="仿宋_GB2312"/>
                <w:sz w:val="24"/>
                <w:szCs w:val="28"/>
                <w:u w:val="single"/>
              </w:rPr>
              <w:sym w:font="Wingdings 2" w:char="00A3"/>
            </w:r>
            <w:r>
              <w:rPr>
                <w:rFonts w:hint="eastAsia" w:ascii="仿宋_GB2312" w:hAnsi="宋体" w:eastAsia="仿宋_GB2312"/>
                <w:sz w:val="24"/>
                <w:szCs w:val="28"/>
                <w:u w:val="single"/>
              </w:rPr>
              <w:t xml:space="preserve">               </w:t>
            </w:r>
          </w:p>
        </w:tc>
        <w:tc>
          <w:tcPr>
            <w:tcW w:w="2541" w:type="pct"/>
            <w:vAlign w:val="center"/>
          </w:tcPr>
          <w:p>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早餐：</w:t>
            </w:r>
            <w:r>
              <w:rPr>
                <w:rFonts w:ascii="仿宋_GB2312" w:hAnsi="宋体" w:eastAsia="仿宋_GB2312"/>
                <w:b/>
                <w:sz w:val="24"/>
                <w:szCs w:val="28"/>
                <w:u w:val="single"/>
              </w:rPr>
              <w:t xml:space="preserve">     </w:t>
            </w:r>
            <w:r>
              <w:rPr>
                <w:rFonts w:hint="eastAsia" w:ascii="仿宋_GB2312" w:hAnsi="宋体" w:eastAsia="仿宋_GB2312"/>
                <w:b/>
                <w:sz w:val="24"/>
                <w:szCs w:val="28"/>
              </w:rPr>
              <w:t>元/餐（含税）</w:t>
            </w:r>
          </w:p>
          <w:p>
            <w:pPr>
              <w:adjustRightInd w:val="0"/>
              <w:snapToGrid w:val="0"/>
              <w:spacing w:line="276" w:lineRule="auto"/>
              <w:jc w:val="center"/>
              <w:rPr>
                <w:rFonts w:ascii="仿宋_GB2312" w:eastAsia="仿宋_GB2312"/>
                <w:bCs/>
                <w:sz w:val="24"/>
                <w:szCs w:val="28"/>
                <w:u w:val="single"/>
              </w:rPr>
            </w:pPr>
            <w:r>
              <w:rPr>
                <w:rFonts w:hint="eastAsia" w:ascii="仿宋_GB2312" w:hAnsi="宋体" w:eastAsia="仿宋_GB2312"/>
                <w:b/>
                <w:sz w:val="24"/>
                <w:szCs w:val="28"/>
              </w:rPr>
              <w:t>午/晚餐：</w:t>
            </w:r>
            <w:r>
              <w:rPr>
                <w:rFonts w:ascii="仿宋_GB2312" w:hAnsi="宋体" w:eastAsia="仿宋_GB2312"/>
                <w:b/>
                <w:sz w:val="24"/>
                <w:szCs w:val="28"/>
                <w:u w:val="single"/>
              </w:rPr>
              <w:t xml:space="preserve">     </w:t>
            </w:r>
            <w:r>
              <w:rPr>
                <w:rFonts w:hint="eastAsia" w:ascii="仿宋_GB2312" w:hAnsi="宋体" w:eastAsia="仿宋_GB2312"/>
                <w:b/>
                <w:sz w:val="24"/>
                <w:szCs w:val="28"/>
              </w:rPr>
              <w:t>元/餐（含税）</w:t>
            </w:r>
          </w:p>
        </w:tc>
      </w:tr>
    </w:tbl>
    <w:p>
      <w:pPr>
        <w:spacing w:before="240"/>
        <w:ind w:left="420" w:hanging="420" w:hangingChars="150"/>
        <w:rPr>
          <w:rFonts w:ascii="仿宋_GB2312" w:hAnsi="宋体" w:eastAsia="仿宋_GB2312"/>
          <w:sz w:val="28"/>
          <w:szCs w:val="28"/>
        </w:rPr>
      </w:pPr>
      <w:r>
        <w:rPr>
          <w:rFonts w:hint="eastAsia" w:ascii="仿宋_GB2312" w:hAnsi="宋体" w:eastAsia="仿宋_GB2312"/>
          <w:sz w:val="28"/>
          <w:szCs w:val="28"/>
        </w:rPr>
        <w:t>2. 我方愿意遵守采购文件的各项规定，供应符合采购文件中所指定的</w:t>
      </w:r>
      <w:r>
        <w:rPr>
          <w:rFonts w:hint="eastAsia" w:ascii="仿宋_GB2312" w:hAnsi="宋体" w:eastAsia="仿宋_GB2312"/>
          <w:sz w:val="28"/>
          <w:szCs w:val="28"/>
          <w:u w:val="single"/>
        </w:rPr>
        <w:t>（项目名称）</w:t>
      </w:r>
      <w:r>
        <w:rPr>
          <w:rFonts w:hint="eastAsia" w:ascii="仿宋_GB2312" w:hAnsi="宋体" w:eastAsia="仿宋_GB2312"/>
          <w:sz w:val="28"/>
          <w:szCs w:val="28"/>
        </w:rPr>
        <w:t>，按采购文件的要求提供报价。</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3. 我方同意本响应文件自本项目公告之日起</w:t>
      </w:r>
      <w:r>
        <w:rPr>
          <w:rFonts w:hint="eastAsia" w:ascii="仿宋_GB2312" w:hAnsi="宋体" w:eastAsia="仿宋_GB2312"/>
          <w:sz w:val="28"/>
          <w:szCs w:val="28"/>
          <w:u w:val="single"/>
        </w:rPr>
        <w:t>90</w:t>
      </w:r>
      <w:r>
        <w:rPr>
          <w:rFonts w:hint="eastAsia" w:ascii="仿宋_GB2312" w:hAnsi="宋体" w:eastAsia="仿宋_GB2312"/>
          <w:sz w:val="28"/>
          <w:szCs w:val="28"/>
        </w:rPr>
        <w:t>天内有效。如果我方的响应被接受，则直至合同生效时止，本响应始终有效。</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4. 我方已经详细地阅读了全部采购文件及附件，包括澄清及参考文件（如果有的话），我方完全清晰理解采购文件的要求，不存在任何含糊不清和误解之处，同意放弃对这些文件提出异议和质疑的权利。</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5. 我方完全接受本采购文件中关于响应的规定，并同意放弃对这规定提出异议和质疑的权利。</w:t>
      </w:r>
    </w:p>
    <w:p>
      <w:pPr>
        <w:rPr>
          <w:rFonts w:ascii="仿宋_GB2312" w:hAnsi="宋体" w:eastAsia="仿宋_GB2312"/>
          <w:sz w:val="28"/>
          <w:szCs w:val="28"/>
        </w:rPr>
      </w:pPr>
      <w:r>
        <w:rPr>
          <w:rFonts w:hint="eastAsia" w:ascii="仿宋_GB2312" w:hAnsi="宋体" w:eastAsia="仿宋_GB2312"/>
          <w:sz w:val="28"/>
          <w:szCs w:val="28"/>
        </w:rPr>
        <w:t>6. 我方同意提供采购文件要求的有关响应的其它资料。</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7. 我方承诺在本次响应中提供的一切文件，无论是原件或是复印件均为真实和准确的，绝无任何虚假、伪造和夸大的成份。否则，我方愿意承担相应的后果和法律责任。</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8. 我方完全理解，项目采购评审小组并无义务必须接受最低报价的响应或其它任何响应。</w:t>
      </w:r>
    </w:p>
    <w:p>
      <w:pPr>
        <w:spacing w:before="240"/>
        <w:rPr>
          <w:rFonts w:ascii="仿宋_GB2312" w:hAnsi="宋体" w:eastAsia="仿宋_GB2312"/>
          <w:sz w:val="28"/>
          <w:szCs w:val="28"/>
        </w:rPr>
      </w:pPr>
      <w:r>
        <w:rPr>
          <w:rFonts w:hint="eastAsia" w:ascii="仿宋_GB2312" w:hAnsi="宋体" w:eastAsia="仿宋_GB2312"/>
          <w:sz w:val="28"/>
          <w:szCs w:val="28"/>
        </w:rPr>
        <w:t>所有与本响应有关的函件请按下列联系方式发送:</w:t>
      </w:r>
    </w:p>
    <w:p>
      <w:pPr>
        <w:spacing w:line="600" w:lineRule="auto"/>
        <w:rPr>
          <w:rFonts w:ascii="仿宋_GB2312" w:hAnsi="宋体" w:eastAsia="仿宋_GB2312"/>
          <w:bCs/>
          <w:sz w:val="28"/>
          <w:szCs w:val="28"/>
        </w:rPr>
      </w:pPr>
      <w:r>
        <w:rPr>
          <w:rFonts w:hint="eastAsia" w:ascii="仿宋_GB2312" w:hAnsi="宋体" w:eastAsia="仿宋_GB2312"/>
          <w:bCs/>
          <w:sz w:val="28"/>
          <w:szCs w:val="28"/>
        </w:rPr>
        <w:t>响应人全称：</w:t>
      </w:r>
      <w:r>
        <w:rPr>
          <w:rFonts w:hint="eastAsia" w:ascii="仿宋_GB2312" w:hAnsi="宋体" w:eastAsia="仿宋_GB2312"/>
          <w:sz w:val="28"/>
          <w:szCs w:val="28"/>
          <w:u w:val="single"/>
        </w:rPr>
        <w:t xml:space="preserve">                                             </w:t>
      </w:r>
      <w:r>
        <w:rPr>
          <w:rFonts w:hint="eastAsia" w:ascii="仿宋_GB2312" w:hAnsi="宋体" w:eastAsia="仿宋_GB2312"/>
          <w:bCs/>
          <w:sz w:val="28"/>
          <w:szCs w:val="28"/>
          <w:u w:val="single"/>
        </w:rPr>
        <w:t>（加盖公章）</w:t>
      </w:r>
    </w:p>
    <w:p>
      <w:pPr>
        <w:spacing w:line="600" w:lineRule="auto"/>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 xml:space="preserve">                                                </w:t>
      </w:r>
    </w:p>
    <w:p>
      <w:pPr>
        <w:spacing w:line="600" w:lineRule="auto"/>
        <w:rPr>
          <w:rFonts w:ascii="仿宋_GB2312" w:hAnsi="宋体" w:eastAsia="仿宋_GB2312"/>
          <w:sz w:val="28"/>
          <w:szCs w:val="28"/>
          <w:u w:val="single"/>
        </w:rPr>
      </w:pPr>
      <w:r>
        <w:rPr>
          <w:rFonts w:hint="eastAsia" w:ascii="仿宋_GB2312" w:hAnsi="宋体" w:eastAsia="仿宋_GB2312"/>
          <w:spacing w:val="46"/>
          <w:kern w:val="0"/>
          <w:sz w:val="28"/>
          <w:szCs w:val="28"/>
          <w:fitText w:val="1400" w:id="937647982"/>
        </w:rPr>
        <w:t>邮政编</w:t>
      </w:r>
      <w:r>
        <w:rPr>
          <w:rFonts w:hint="eastAsia" w:ascii="仿宋_GB2312" w:hAnsi="宋体" w:eastAsia="仿宋_GB2312"/>
          <w:spacing w:val="2"/>
          <w:kern w:val="0"/>
          <w:sz w:val="28"/>
          <w:szCs w:val="28"/>
          <w:fitText w:val="1400" w:id="937647982"/>
        </w:rPr>
        <w:t>码</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传真：</w:t>
      </w:r>
      <w:r>
        <w:rPr>
          <w:rFonts w:hint="eastAsia" w:ascii="仿宋_GB2312" w:hAnsi="宋体" w:eastAsia="仿宋_GB2312"/>
          <w:sz w:val="28"/>
          <w:szCs w:val="28"/>
          <w:u w:val="single"/>
        </w:rPr>
        <w:t xml:space="preserve">                </w:t>
      </w:r>
    </w:p>
    <w:p>
      <w:pPr>
        <w:tabs>
          <w:tab w:val="left" w:pos="3600"/>
        </w:tabs>
        <w:spacing w:line="600" w:lineRule="auto"/>
        <w:rPr>
          <w:rFonts w:ascii="仿宋_GB2312" w:hAnsi="宋体" w:eastAsia="仿宋_GB2312"/>
          <w:bCs/>
          <w:sz w:val="28"/>
          <w:szCs w:val="28"/>
        </w:rPr>
      </w:pPr>
      <w:r>
        <w:rPr>
          <w:rFonts w:hint="eastAsia" w:ascii="仿宋_GB2312" w:hAnsi="宋体" w:eastAsia="仿宋_GB2312"/>
          <w:bCs/>
          <w:sz w:val="28"/>
          <w:szCs w:val="28"/>
        </w:rPr>
        <w:t>法定代表人或其响应人授权代表(签字)：</w:t>
      </w:r>
    </w:p>
    <w:p>
      <w:pPr>
        <w:wordWrap w:val="0"/>
        <w:spacing w:before="120" w:after="120" w:line="600" w:lineRule="auto"/>
        <w:jc w:val="right"/>
        <w:rPr>
          <w:rFonts w:ascii="仿宋_GB2312" w:hAnsi="宋体" w:eastAsia="仿宋_GB2312"/>
          <w:bCs/>
          <w:sz w:val="28"/>
          <w:szCs w:val="28"/>
        </w:rPr>
      </w:pPr>
      <w:r>
        <w:rPr>
          <w:rFonts w:hint="eastAsia" w:ascii="仿宋_GB2312" w:hAnsi="宋体" w:eastAsia="仿宋_GB2312"/>
          <w:bCs/>
          <w:sz w:val="28"/>
          <w:szCs w:val="28"/>
        </w:rPr>
        <w:t xml:space="preserve">              年    月    日</w:t>
      </w:r>
    </w:p>
    <w:p>
      <w:pPr>
        <w:spacing w:line="360" w:lineRule="auto"/>
        <w:ind w:left="1065" w:hanging="1060" w:hangingChars="442"/>
        <w:rPr>
          <w:rFonts w:ascii="仿宋_GB2312" w:hAnsi="宋体" w:eastAsia="仿宋_GB2312"/>
          <w:b/>
          <w:bCs/>
          <w:sz w:val="24"/>
          <w:szCs w:val="28"/>
        </w:rPr>
      </w:pPr>
    </w:p>
    <w:p>
      <w:pPr>
        <w:spacing w:line="360" w:lineRule="auto"/>
        <w:ind w:left="1065" w:hanging="1060" w:hangingChars="442"/>
        <w:rPr>
          <w:rFonts w:ascii="仿宋_GB2312" w:hAnsi="宋体" w:eastAsia="仿宋_GB2312"/>
          <w:bCs/>
          <w:sz w:val="24"/>
          <w:szCs w:val="28"/>
        </w:rPr>
      </w:pPr>
      <w:r>
        <w:rPr>
          <w:rFonts w:hint="eastAsia" w:ascii="仿宋_GB2312" w:hAnsi="宋体" w:eastAsia="仿宋_GB2312"/>
          <w:b/>
          <w:bCs/>
          <w:sz w:val="24"/>
          <w:szCs w:val="28"/>
        </w:rPr>
        <w:t>备注：</w:t>
      </w:r>
      <w:r>
        <w:rPr>
          <w:rFonts w:hint="eastAsia" w:ascii="仿宋_GB2312" w:eastAsia="仿宋_GB2312"/>
          <w:spacing w:val="4"/>
          <w:sz w:val="24"/>
          <w:szCs w:val="28"/>
        </w:rPr>
        <w:t>a.</w:t>
      </w:r>
      <w:r>
        <w:rPr>
          <w:rFonts w:hint="eastAsia" w:ascii="仿宋_GB2312" w:eastAsia="仿宋_GB2312"/>
          <w:b/>
          <w:spacing w:val="4"/>
          <w:sz w:val="24"/>
          <w:szCs w:val="28"/>
        </w:rPr>
        <w:t xml:space="preserve"> 温馨提示：</w:t>
      </w:r>
      <w:r>
        <w:rPr>
          <w:rFonts w:hint="eastAsia" w:ascii="仿宋_GB2312" w:eastAsia="仿宋_GB2312"/>
          <w:spacing w:val="4"/>
          <w:sz w:val="24"/>
          <w:szCs w:val="28"/>
        </w:rPr>
        <w:t>中文大写金额用汉字，如壹、贰、叁、肆、伍、陆、柒、捌、玖、拾、佰、仟、万、亿、元、角、分、零、整（正）等。</w:t>
      </w:r>
    </w:p>
    <w:p>
      <w:pPr>
        <w:spacing w:line="360" w:lineRule="auto"/>
        <w:ind w:firstLine="720" w:firstLineChars="300"/>
        <w:rPr>
          <w:rFonts w:ascii="仿宋_GB2312" w:hAnsi="宋体" w:eastAsia="仿宋_GB2312"/>
          <w:bCs/>
          <w:sz w:val="24"/>
          <w:szCs w:val="28"/>
        </w:rPr>
      </w:pPr>
      <w:r>
        <w:rPr>
          <w:rFonts w:hint="eastAsia" w:ascii="仿宋_GB2312" w:eastAsia="仿宋_GB2312"/>
          <w:sz w:val="24"/>
          <w:szCs w:val="28"/>
        </w:rPr>
        <w:t>b. 响应报价的小数点后保留两位有效数。</w:t>
      </w:r>
    </w:p>
    <w:p>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c. 此表为采购文件的组成部分，须附在正、副本的响应文件中。</w:t>
      </w:r>
    </w:p>
    <w:p>
      <w:pPr>
        <w:snapToGrid w:val="0"/>
        <w:spacing w:line="360" w:lineRule="auto"/>
        <w:ind w:left="1067" w:leftChars="337" w:hanging="360" w:hangingChars="150"/>
        <w:rPr>
          <w:rFonts w:ascii="仿宋_GB2312" w:eastAsia="仿宋_GB2312"/>
          <w:sz w:val="24"/>
          <w:szCs w:val="28"/>
        </w:rPr>
      </w:pPr>
      <w:r>
        <w:rPr>
          <w:rFonts w:hint="eastAsia" w:ascii="仿宋_GB2312" w:eastAsia="仿宋_GB2312"/>
          <w:sz w:val="24"/>
          <w:szCs w:val="28"/>
        </w:rPr>
        <w:t>d. 此表内响应报价为最终价，除采购文件另有规定外，开标信封或响应文件内不得含有任何对本报价进行价格折扣的说明或资料，否则为无效响应。</w:t>
      </w:r>
    </w:p>
    <w:p>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e. 本项目不接受有选择性的响应报价。</w:t>
      </w:r>
    </w:p>
    <w:p>
      <w:pPr>
        <w:snapToGrid w:val="0"/>
        <w:spacing w:before="240"/>
        <w:outlineLvl w:val="1"/>
        <w:rPr>
          <w:rFonts w:ascii="仿宋_GB2312" w:hAnsi="宋体" w:eastAsia="仿宋_GB2312"/>
          <w:b/>
          <w:sz w:val="32"/>
          <w:szCs w:val="28"/>
        </w:rPr>
      </w:pPr>
      <w:r>
        <w:rPr>
          <w:rFonts w:ascii="仿宋_GB2312" w:eastAsia="仿宋_GB2312"/>
          <w:sz w:val="28"/>
          <w:szCs w:val="28"/>
        </w:rPr>
        <w:br w:type="page"/>
      </w:r>
      <w:bookmarkStart w:id="166" w:name="_Toc334797771"/>
      <w:bookmarkStart w:id="167" w:name="_Toc35617600"/>
      <w:bookmarkStart w:id="168" w:name="_Toc533236396"/>
      <w:r>
        <w:rPr>
          <w:rFonts w:hint="eastAsia" w:ascii="仿宋_GB2312" w:hAnsi="宋体" w:eastAsia="仿宋_GB2312"/>
          <w:b/>
          <w:sz w:val="32"/>
          <w:szCs w:val="28"/>
        </w:rPr>
        <w:t>格式2</w:t>
      </w:r>
      <w:bookmarkEnd w:id="166"/>
      <w:r>
        <w:rPr>
          <w:rFonts w:hint="eastAsia" w:ascii="仿宋_GB2312" w:hAnsi="宋体" w:eastAsia="仿宋_GB2312"/>
          <w:b/>
          <w:sz w:val="32"/>
          <w:szCs w:val="28"/>
        </w:rPr>
        <w:t>：法定代表人证明及授权书</w:t>
      </w:r>
      <w:bookmarkEnd w:id="167"/>
    </w:p>
    <w:p>
      <w:pPr>
        <w:snapToGrid w:val="0"/>
        <w:spacing w:before="240"/>
        <w:outlineLvl w:val="1"/>
        <w:rPr>
          <w:rFonts w:ascii="仿宋_GB2312" w:hAnsi="宋体" w:eastAsia="仿宋_GB2312"/>
          <w:b/>
          <w:sz w:val="32"/>
          <w:szCs w:val="28"/>
        </w:rPr>
      </w:pPr>
    </w:p>
    <w:p>
      <w:pPr>
        <w:spacing w:after="240"/>
        <w:jc w:val="center"/>
        <w:rPr>
          <w:rFonts w:ascii="方正小标宋简体" w:eastAsia="方正小标宋简体"/>
          <w:sz w:val="36"/>
        </w:rPr>
      </w:pPr>
      <w:r>
        <w:rPr>
          <w:rFonts w:hint="eastAsia" w:ascii="方正小标宋简体" w:eastAsia="方正小标宋简体"/>
          <w:sz w:val="36"/>
        </w:rPr>
        <w:t xml:space="preserve"> 法定代表人证明及授权书</w:t>
      </w:r>
      <w:bookmarkEnd w:id="168"/>
    </w:p>
    <w:p>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pPr>
        <w:pStyle w:val="22"/>
        <w:spacing w:line="300" w:lineRule="auto"/>
        <w:ind w:firstLine="480" w:firstLineChars="200"/>
        <w:rPr>
          <w:rFonts w:ascii="仿宋_GB2312" w:hAnsi="宋体" w:eastAsia="仿宋_GB2312"/>
          <w:szCs w:val="24"/>
        </w:rPr>
      </w:pPr>
      <w:r>
        <w:rPr>
          <w:rFonts w:hint="eastAsia" w:ascii="仿宋_GB2312" w:hAnsi="宋体" w:eastAsia="仿宋_GB2312"/>
          <w:szCs w:val="24"/>
        </w:rPr>
        <w:t>本授权证明：</w:t>
      </w:r>
      <w:r>
        <w:rPr>
          <w:rFonts w:hint="eastAsia" w:ascii="仿宋_GB2312" w:hAnsi="宋体" w:eastAsia="仿宋_GB2312"/>
          <w:i/>
          <w:szCs w:val="24"/>
          <w:u w:val="single"/>
        </w:rPr>
        <w:t>（法定代表人姓名）</w:t>
      </w:r>
      <w:r>
        <w:rPr>
          <w:rFonts w:hint="eastAsia" w:ascii="仿宋_GB2312" w:hAnsi="宋体" w:eastAsia="仿宋_GB2312"/>
          <w:szCs w:val="24"/>
        </w:rPr>
        <w:t>是注册于</w:t>
      </w:r>
      <w:r>
        <w:rPr>
          <w:rFonts w:hint="eastAsia" w:ascii="仿宋_GB2312" w:hAnsi="宋体" w:eastAsia="仿宋_GB2312"/>
          <w:i/>
          <w:szCs w:val="24"/>
          <w:u w:val="single"/>
        </w:rPr>
        <w:t>（省、市、县）</w:t>
      </w:r>
      <w:r>
        <w:rPr>
          <w:rFonts w:hint="eastAsia" w:ascii="仿宋_GB2312" w:hAnsi="宋体" w:eastAsia="仿宋_GB2312"/>
          <w:szCs w:val="24"/>
        </w:rPr>
        <w:t>的</w:t>
      </w:r>
      <w:r>
        <w:rPr>
          <w:rFonts w:hint="eastAsia" w:ascii="仿宋_GB2312" w:hAnsi="宋体" w:eastAsia="仿宋_GB2312"/>
          <w:i/>
          <w:szCs w:val="24"/>
          <w:u w:val="single"/>
        </w:rPr>
        <w:t>（响应人名称）</w:t>
      </w:r>
      <w:r>
        <w:rPr>
          <w:rFonts w:hint="eastAsia" w:ascii="仿宋_GB2312" w:hAnsi="宋体" w:eastAsia="仿宋_GB2312"/>
          <w:szCs w:val="24"/>
        </w:rPr>
        <w:t>的法定代表人，现任</w:t>
      </w:r>
      <w:r>
        <w:rPr>
          <w:rFonts w:hint="eastAsia" w:ascii="仿宋_GB2312" w:hAnsi="宋体" w:eastAsia="仿宋_GB2312"/>
          <w:i/>
          <w:szCs w:val="24"/>
          <w:u w:val="single"/>
        </w:rPr>
        <w:t>（法定代表人职务）</w:t>
      </w:r>
      <w:r>
        <w:rPr>
          <w:rFonts w:hint="eastAsia" w:ascii="仿宋_GB2312" w:hAnsi="宋体" w:eastAsia="仿宋_GB2312"/>
          <w:szCs w:val="24"/>
        </w:rPr>
        <w:t>。在此授权</w:t>
      </w:r>
      <w:r>
        <w:rPr>
          <w:rFonts w:hint="eastAsia" w:ascii="仿宋_GB2312" w:hAnsi="宋体" w:eastAsia="仿宋_GB2312"/>
          <w:i/>
          <w:szCs w:val="24"/>
          <w:u w:val="single"/>
        </w:rPr>
        <w:t>（被授权人姓名、职务）</w:t>
      </w:r>
      <w:r>
        <w:rPr>
          <w:rFonts w:hint="eastAsia" w:ascii="仿宋_GB2312" w:hAnsi="宋体" w:eastAsia="仿宋_GB2312"/>
          <w:szCs w:val="24"/>
        </w:rPr>
        <w:t>作为我公司的全权代理人，在</w:t>
      </w:r>
      <w:r>
        <w:rPr>
          <w:rFonts w:hint="eastAsia" w:ascii="仿宋_GB2312" w:hAnsi="宋体" w:eastAsia="仿宋_GB2312"/>
          <w:i/>
          <w:szCs w:val="24"/>
          <w:u w:val="single"/>
        </w:rPr>
        <w:t>（项目名称）</w:t>
      </w:r>
      <w:r>
        <w:rPr>
          <w:rFonts w:hint="eastAsia" w:ascii="仿宋_GB2312" w:hAnsi="宋体" w:eastAsia="仿宋_GB2312"/>
          <w:szCs w:val="24"/>
        </w:rPr>
        <w:t>的响应（项目编号为：</w:t>
      </w:r>
      <w:r>
        <w:rPr>
          <w:rFonts w:ascii="仿宋_GB2312" w:hAnsi="宋体" w:eastAsia="仿宋_GB2312"/>
          <w:szCs w:val="24"/>
          <w:u w:val="single"/>
        </w:rPr>
        <w:t xml:space="preserve">                  </w:t>
      </w:r>
      <w:r>
        <w:rPr>
          <w:rFonts w:hint="eastAsia" w:ascii="仿宋_GB2312" w:hAnsi="宋体" w:eastAsia="仿宋_GB2312"/>
          <w:szCs w:val="24"/>
        </w:rPr>
        <w:t>）及其合同执行过程中，以我公司的名义处理一切与之有关的事务。</w:t>
      </w:r>
    </w:p>
    <w:p>
      <w:pPr>
        <w:spacing w:line="300" w:lineRule="auto"/>
        <w:ind w:firstLine="480" w:firstLineChars="200"/>
        <w:rPr>
          <w:rFonts w:ascii="仿宋_GB2312" w:hAnsi="宋体" w:eastAsia="仿宋_GB2312"/>
          <w:sz w:val="24"/>
        </w:rPr>
      </w:pPr>
      <w:r>
        <w:rPr>
          <w:rFonts w:hint="eastAsia" w:ascii="仿宋_GB2312" w:hAnsi="宋体" w:eastAsia="仿宋_GB2312"/>
          <w:sz w:val="24"/>
        </w:rPr>
        <w:t>本授权书于</w:t>
      </w:r>
      <w:r>
        <w:rPr>
          <w:rFonts w:ascii="仿宋_GB2312" w:hAnsi="宋体" w:eastAsia="仿宋_GB2312"/>
          <w:sz w:val="24"/>
          <w:u w:val="single"/>
        </w:rPr>
        <w:t xml:space="preserve">       </w:t>
      </w:r>
      <w:r>
        <w:rPr>
          <w:rFonts w:hint="eastAsia" w:ascii="仿宋_GB2312" w:hAnsi="宋体" w:eastAsia="仿宋_GB2312"/>
          <w:sz w:val="24"/>
        </w:rPr>
        <w:t>年</w:t>
      </w:r>
      <w:r>
        <w:rPr>
          <w:rFonts w:ascii="仿宋_GB2312" w:hAnsi="宋体" w:eastAsia="仿宋_GB2312"/>
          <w:sz w:val="24"/>
          <w:u w:val="single"/>
        </w:rPr>
        <w:t xml:space="preserve">    </w:t>
      </w:r>
      <w:r>
        <w:rPr>
          <w:rFonts w:hint="eastAsia" w:ascii="仿宋_GB2312" w:hAnsi="宋体" w:eastAsia="仿宋_GB2312"/>
          <w:sz w:val="24"/>
        </w:rPr>
        <w:t>月</w:t>
      </w:r>
      <w:r>
        <w:rPr>
          <w:rFonts w:ascii="仿宋_GB2312" w:hAnsi="宋体" w:eastAsia="仿宋_GB2312"/>
          <w:sz w:val="24"/>
          <w:u w:val="single"/>
        </w:rPr>
        <w:t xml:space="preserve">    </w:t>
      </w:r>
      <w:r>
        <w:rPr>
          <w:rFonts w:hint="eastAsia" w:ascii="仿宋_GB2312" w:hAnsi="宋体" w:eastAsia="仿宋_GB2312"/>
          <w:sz w:val="24"/>
        </w:rPr>
        <w:t>日签字生效，特此声明。</w:t>
      </w:r>
    </w:p>
    <w:p>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3180715</wp:posOffset>
                </wp:positionH>
                <wp:positionV relativeFrom="paragraph">
                  <wp:posOffset>40640</wp:posOffset>
                </wp:positionV>
                <wp:extent cx="3095625" cy="1943735"/>
                <wp:effectExtent l="0" t="0" r="9525" b="0"/>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3.2pt;height:153.05pt;width:243.75pt;z-index:251660288;v-text-anchor:middle;mso-width-relative:page;mso-height-relative:page;" filled="f" stroked="t" coordsize="21600,21600" arcsize="0.0249074074074074" o:gfxdata="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7YhpitUAAAAJAQAADwAAAAAAAAABACAAAAAiAAAAZHJzL2Rv&#10;d25yZXYueG1sUEsBAhQAFAAAAAgAh07iQJAj/emvAgAAOwUAAA4AAAAAAAAAAQAgAAAAJAEAAGRy&#10;cy9lMm9Eb2MueG1sUEsFBgAAAAAGAAYAWQEAAEUGAAAAAA==&#10;">
                <v:fill on="f" focussize="0,0"/>
                <v:stroke weight="1.5pt" color="#7F7F7F" linestyle="thickThin" joinstyle="round"/>
                <v:imagedata o:title=""/>
                <o:lock v:ext="edit" aspectratio="f"/>
                <v:textbox>
                  <w:txbxContent>
                    <w:p>
                      <w:pPr>
                        <w:jc w:val="center"/>
                      </w:pP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40640</wp:posOffset>
                </wp:positionV>
                <wp:extent cx="3095625" cy="1943735"/>
                <wp:effectExtent l="0" t="0" r="9525" b="0"/>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3.2pt;height:153.05pt;width:243.75pt;z-index:251659264;v-text-anchor:middle;mso-width-relative:page;mso-height-relative:page;" filled="f" stroked="t" coordsize="21600,21600" arcsize="0.0249074074074074" o:gfxdata="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Nf1dn0gAAAAcBAAAPAAAAAAAAAAEAIAAAACIAAABkcnMvZG93bnJl&#10;di54bWxQSwECFAAUAAAACACHTuJAGy+Iwq4CAAA7BQAADgAAAAAAAAABACAAAAAhAQAAZHJzL2Uy&#10;b0RvYy54bWxQSwUGAAAAAAYABgBZAQAAQQYAAAAA&#10;">
                <v:fill on="f" focussize="0,0"/>
                <v:stroke weight="1.5pt" color="#7F7F7F" linestyle="thickThin" joinstyle="round"/>
                <v:imagedata o:title=""/>
                <o:lock v:ext="edit" aspectratio="f"/>
                <v:textbox>
                  <w:txbxContent>
                    <w:p>
                      <w:pPr>
                        <w:jc w:val="center"/>
                      </w:pPr>
                    </w:p>
                  </w:txbxContent>
                </v:textbox>
              </v:roundrect>
            </w:pict>
          </mc:Fallback>
        </mc:AlternateContent>
      </w:r>
    </w:p>
    <w:p>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64384" behindDoc="0" locked="0" layoutInCell="1" allowOverlap="1">
                <wp:simplePos x="0" y="0"/>
                <wp:positionH relativeFrom="column">
                  <wp:posOffset>3218815</wp:posOffset>
                </wp:positionH>
                <wp:positionV relativeFrom="paragraph">
                  <wp:posOffset>63500</wp:posOffset>
                </wp:positionV>
                <wp:extent cx="3028950" cy="88392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69.6pt;width:238.5pt;z-index:251664384;mso-width-relative:page;mso-height-relative:margin;mso-height-percent:200;" fillcolor="#FFFFFF" filled="t" stroked="f" coordsize="21600,21600" o:gfxdata="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xhqHdcAAAAKAQAADwAAAAAAAAABACAAAAAiAAAAZHJzL2Rvd25y&#10;ZXYueG1sUEsBAhQAFAAAAAgAh07iQL7Pf/w4AgAAUgQAAA4AAAAAAAAAAQAgAAAAJg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63500</wp:posOffset>
                </wp:positionV>
                <wp:extent cx="3028950" cy="88392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69.6pt;width:238.5pt;z-index:251663360;mso-width-relative:page;mso-height-relative:margin;mso-height-percent:200;" fillcolor="#FFFFFF" filled="t" stroked="f" coordsize="21600,21600" o:gfxdata="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IzN19UAAAAIAQAADwAAAAAAAAABACAAAAAiAAAAZHJzL2Rvd25y&#10;ZXYueG1sUEsBAhQAFAAAAAgAh07iQF0ZytI6AgAAVAQAAA4AAAAAAAAAAQAgAAAAJA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p>
    <w:p>
      <w:pPr>
        <w:pStyle w:val="22"/>
        <w:spacing w:line="300" w:lineRule="auto"/>
        <w:jc w:val="center"/>
        <w:rPr>
          <w:rFonts w:ascii="仿宋_GB2312" w:hAnsi="宋体" w:eastAsia="仿宋_GB2312"/>
          <w:sz w:val="28"/>
          <w:szCs w:val="28"/>
        </w:rPr>
      </w:pPr>
    </w:p>
    <w:p>
      <w:pPr>
        <w:pStyle w:val="22"/>
        <w:spacing w:line="300" w:lineRule="auto"/>
        <w:jc w:val="center"/>
        <w:rPr>
          <w:rFonts w:ascii="仿宋_GB2312" w:hAnsi="宋体" w:eastAsia="仿宋_GB2312"/>
          <w:sz w:val="28"/>
          <w:szCs w:val="28"/>
        </w:rPr>
      </w:pPr>
    </w:p>
    <w:p>
      <w:pPr>
        <w:spacing w:line="300" w:lineRule="auto"/>
        <w:ind w:firstLine="560" w:firstLineChars="200"/>
        <w:rPr>
          <w:rFonts w:ascii="仿宋_GB2312" w:hAnsi="宋体" w:eastAsia="仿宋_GB2312"/>
          <w:sz w:val="28"/>
          <w:szCs w:val="28"/>
        </w:rPr>
      </w:pPr>
    </w:p>
    <w:p>
      <w:pPr>
        <w:spacing w:before="240" w:after="240" w:line="300" w:lineRule="auto"/>
        <w:rPr>
          <w:rFonts w:ascii="仿宋_GB2312" w:hAnsi="宋体" w:eastAsia="仿宋_GB2312"/>
          <w:sz w:val="22"/>
          <w:szCs w:val="22"/>
        </w:rPr>
      </w:pPr>
      <w:r>
        <w:rPr>
          <w:rFonts w:hint="eastAsia" w:ascii="仿宋_GB2312" w:hAnsi="宋体" w:eastAsia="仿宋_GB2312"/>
          <w:sz w:val="22"/>
          <w:szCs w:val="22"/>
        </w:rPr>
        <w:t>法定代表人（签字）：</w:t>
      </w:r>
      <w:r>
        <w:rPr>
          <w:rFonts w:ascii="仿宋_GB2312" w:hAnsi="宋体" w:eastAsia="仿宋_GB2312"/>
          <w:sz w:val="22"/>
          <w:szCs w:val="22"/>
        </w:rPr>
        <w:t xml:space="preserve">                                   </w:t>
      </w:r>
      <w:r>
        <w:rPr>
          <w:rFonts w:hint="eastAsia" w:ascii="仿宋_GB2312" w:hAnsi="宋体" w:eastAsia="仿宋_GB2312"/>
          <w:sz w:val="22"/>
          <w:szCs w:val="22"/>
        </w:rPr>
        <w:t>年</w:t>
      </w:r>
      <w:r>
        <w:rPr>
          <w:rFonts w:ascii="仿宋_GB2312" w:hAnsi="宋体" w:eastAsia="仿宋_GB2312"/>
          <w:sz w:val="22"/>
          <w:szCs w:val="22"/>
        </w:rPr>
        <w:t xml:space="preserve">     </w:t>
      </w:r>
      <w:r>
        <w:rPr>
          <w:rFonts w:hint="eastAsia" w:ascii="仿宋_GB2312" w:hAnsi="宋体" w:eastAsia="仿宋_GB2312"/>
          <w:sz w:val="22"/>
          <w:szCs w:val="22"/>
        </w:rPr>
        <w:t>月</w:t>
      </w:r>
      <w:r>
        <w:rPr>
          <w:rFonts w:ascii="仿宋_GB2312" w:hAnsi="宋体" w:eastAsia="仿宋_GB2312"/>
          <w:sz w:val="22"/>
          <w:szCs w:val="22"/>
        </w:rPr>
        <w:t xml:space="preserve">    </w:t>
      </w:r>
      <w:r>
        <w:rPr>
          <w:rFonts w:hint="eastAsia" w:ascii="仿宋_GB2312" w:hAnsi="宋体" w:eastAsia="仿宋_GB2312"/>
          <w:sz w:val="22"/>
          <w:szCs w:val="22"/>
        </w:rPr>
        <w:t>日</w:t>
      </w:r>
    </w:p>
    <w:p>
      <w:pPr>
        <w:spacing w:before="240" w:after="240" w:line="300" w:lineRule="auto"/>
        <w:rPr>
          <w:rFonts w:ascii="仿宋_GB2312" w:hAnsi="宋体" w:eastAsia="仿宋_GB2312"/>
          <w:sz w:val="28"/>
          <w:szCs w:val="28"/>
        </w:rPr>
      </w:pPr>
      <w:r>
        <mc:AlternateContent>
          <mc:Choice Requires="wps">
            <w:drawing>
              <wp:anchor distT="0" distB="0" distL="114300" distR="114300" simplePos="0" relativeHeight="251666432" behindDoc="0" locked="0" layoutInCell="1" allowOverlap="1">
                <wp:simplePos x="0" y="0"/>
                <wp:positionH relativeFrom="column">
                  <wp:posOffset>3218815</wp:posOffset>
                </wp:positionH>
                <wp:positionV relativeFrom="paragraph">
                  <wp:posOffset>530225</wp:posOffset>
                </wp:positionV>
                <wp:extent cx="3028950" cy="88392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69.6pt;width:238.5pt;z-index:251666432;mso-width-relative:page;mso-height-relative:margin;mso-height-percent:200;" fillcolor="#FFFFFF" filled="t" stroked="f" coordsize="21600,21600" o:gfxdata="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K7zirZAAAACgEAAA8AAAAAAAAAAQAgAAAAIgAAAGRycy9kb3du&#10;cmV2LnhtbFBLAQIUABQAAAAIAIdO4kB8RNBaNwIAAFIEAAAOAAAAAAAAAAEAIAAAACgBAABkcnMv&#10;ZTJvRG9jLnhtbFBLBQYAAAAABgAGAFkBAADRBQ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37465</wp:posOffset>
                </wp:positionH>
                <wp:positionV relativeFrom="paragraph">
                  <wp:posOffset>530225</wp:posOffset>
                </wp:positionV>
                <wp:extent cx="3028950" cy="8839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69.6pt;width:238.5pt;z-index:251665408;mso-width-relative:page;mso-height-relative:margin;mso-height-percent:200;" fillcolor="#FFFFFF" filled="t" stroked="f" coordsize="21600,21600" o:gfxdata="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S9p4NcAAAAIAQAADwAAAAAAAAABACAAAAAiAAAAZHJzL2Rvd25y&#10;ZXYueG1sUEsBAhQAFAAAAAgAh07iQKpr/Ig4AgAAUgQAAA4AAAAAAAAAAQAgAAAAJgEAAGRycy9l&#10;Mm9Eb2MueG1sUEsFBgAAAAAGAAYAWQEAANAFA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3180715</wp:posOffset>
                </wp:positionH>
                <wp:positionV relativeFrom="paragraph">
                  <wp:posOffset>3175</wp:posOffset>
                </wp:positionV>
                <wp:extent cx="3095625" cy="1943735"/>
                <wp:effectExtent l="0" t="0" r="9525" b="0"/>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0.25pt;height:153.05pt;width:243.75pt;z-index:251662336;v-text-anchor:middle;mso-width-relative:page;mso-height-relative:page;" filled="f" stroked="t" coordsize="21600,21600" arcsize="0.0249074074074074" o:gfxdata="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srh9bUAAAACAEAAA8AAAAAAAAAAQAgAAAAIgAAAGRycy9kb3du&#10;cmV2LnhtbFBLAQIUABQAAAAIAIdO4kDhkRWwrgIAADsFAAAOAAAAAAAAAAEAIAAAACMBAABkcnMv&#10;ZTJvRG9jLnhtbFBLBQYAAAAABgAGAFkBAABDBgAAAAA=&#10;">
                <v:fill on="f" focussize="0,0"/>
                <v:stroke weight="1.5pt" color="#7F7F7F" linestyle="thickThin" joinstyle="round"/>
                <v:imagedata o:title=""/>
                <o:lock v:ext="edit" aspectratio="f"/>
                <v:textbox>
                  <w:txbxContent>
                    <w:p>
                      <w:pPr>
                        <w:jc w:val="center"/>
                      </w:pP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3175</wp:posOffset>
                </wp:positionV>
                <wp:extent cx="3095625" cy="1943735"/>
                <wp:effectExtent l="0" t="0" r="9525" b="0"/>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0.25pt;height:153.05pt;width:243.75pt;z-index:251661312;v-text-anchor:middle;mso-width-relative:page;mso-height-relative:page;" filled="f" stroked="t" coordsize="21600,21600" arcsize="0.0249074074074074" o:gfxdata="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BBQoyDRAAAABgEAAA8AAAAAAAAAAQAgAAAAIgAAAGRycy9kb3ducmV2&#10;LnhtbFBLAQIUABQAAAAIAIdO4kCI+bEorgIAADsFAAAOAAAAAAAAAAEAIAAAACABAABkcnMvZTJv&#10;RG9jLnhtbFBLBQYAAAAABgAGAFkBAABABgAAAAA=&#10;">
                <v:fill on="f" focussize="0,0"/>
                <v:stroke weight="1.5pt" color="#7F7F7F" linestyle="thickThin" joinstyle="round"/>
                <v:imagedata o:title=""/>
                <o:lock v:ext="edit" aspectratio="f"/>
                <v:textbox>
                  <w:txbxContent>
                    <w:p>
                      <w:pPr>
                        <w:jc w:val="center"/>
                      </w:pPr>
                    </w:p>
                  </w:txbxContent>
                </v:textbox>
              </v:roundrect>
            </w:pict>
          </mc:Fallback>
        </mc:AlternateContent>
      </w:r>
    </w:p>
    <w:p>
      <w:pPr>
        <w:pStyle w:val="22"/>
        <w:spacing w:line="300" w:lineRule="auto"/>
        <w:jc w:val="center"/>
        <w:rPr>
          <w:rFonts w:ascii="仿宋_GB2312" w:hAnsi="宋体" w:eastAsia="仿宋_GB2312"/>
          <w:sz w:val="28"/>
          <w:szCs w:val="28"/>
        </w:rPr>
      </w:pPr>
    </w:p>
    <w:p>
      <w:pPr>
        <w:pStyle w:val="22"/>
        <w:spacing w:line="300" w:lineRule="auto"/>
        <w:ind w:firstLine="0"/>
        <w:rPr>
          <w:rFonts w:ascii="仿宋_GB2312" w:hAnsi="宋体" w:eastAsia="仿宋_GB2312"/>
          <w:sz w:val="28"/>
          <w:szCs w:val="28"/>
        </w:rPr>
      </w:pPr>
    </w:p>
    <w:p>
      <w:pPr>
        <w:pStyle w:val="22"/>
        <w:spacing w:line="300" w:lineRule="auto"/>
        <w:jc w:val="center"/>
        <w:rPr>
          <w:rFonts w:ascii="仿宋_GB2312" w:hAnsi="宋体" w:eastAsia="仿宋_GB2312"/>
          <w:sz w:val="28"/>
          <w:szCs w:val="28"/>
        </w:rPr>
      </w:pPr>
    </w:p>
    <w:p>
      <w:pPr>
        <w:pStyle w:val="22"/>
        <w:spacing w:line="300" w:lineRule="auto"/>
        <w:ind w:firstLine="0"/>
        <w:rPr>
          <w:rFonts w:ascii="仿宋_GB2312" w:hAnsi="宋体" w:eastAsia="仿宋_GB2312"/>
          <w:sz w:val="28"/>
          <w:szCs w:val="28"/>
        </w:rPr>
      </w:pPr>
    </w:p>
    <w:p>
      <w:pPr>
        <w:pStyle w:val="22"/>
        <w:spacing w:line="300" w:lineRule="auto"/>
        <w:ind w:firstLine="0"/>
        <w:rPr>
          <w:rFonts w:ascii="仿宋_GB2312" w:hAnsi="宋体" w:eastAsia="仿宋_GB2312"/>
          <w:sz w:val="22"/>
          <w:szCs w:val="22"/>
        </w:rPr>
      </w:pPr>
      <w:r>
        <w:rPr>
          <w:rFonts w:hint="eastAsia" w:ascii="仿宋_GB2312" w:hAnsi="宋体" w:eastAsia="仿宋_GB2312"/>
          <w:sz w:val="22"/>
          <w:szCs w:val="22"/>
        </w:rPr>
        <w:t>被授权人</w:t>
      </w:r>
      <w:r>
        <w:rPr>
          <w:rFonts w:ascii="仿宋_GB2312" w:hAnsi="宋体" w:eastAsia="仿宋_GB2312"/>
          <w:sz w:val="22"/>
          <w:szCs w:val="22"/>
        </w:rPr>
        <w:t xml:space="preserve">(响应人授权代表)（签字）：                      </w:t>
      </w:r>
      <w:r>
        <w:rPr>
          <w:rFonts w:hint="eastAsia" w:ascii="仿宋_GB2312" w:hAnsi="宋体" w:eastAsia="仿宋_GB2312"/>
          <w:sz w:val="22"/>
          <w:szCs w:val="22"/>
        </w:rPr>
        <w:t>年</w:t>
      </w:r>
      <w:r>
        <w:rPr>
          <w:rFonts w:ascii="仿宋_GB2312" w:hAnsi="宋体" w:eastAsia="仿宋_GB2312"/>
          <w:sz w:val="22"/>
          <w:szCs w:val="22"/>
        </w:rPr>
        <w:t xml:space="preserve">     </w:t>
      </w:r>
      <w:r>
        <w:rPr>
          <w:rFonts w:hint="eastAsia" w:ascii="仿宋_GB2312" w:hAnsi="宋体" w:eastAsia="仿宋_GB2312"/>
          <w:sz w:val="22"/>
          <w:szCs w:val="22"/>
        </w:rPr>
        <w:t>月</w:t>
      </w:r>
      <w:r>
        <w:rPr>
          <w:rFonts w:ascii="仿宋_GB2312" w:hAnsi="宋体" w:eastAsia="仿宋_GB2312"/>
          <w:sz w:val="22"/>
          <w:szCs w:val="22"/>
        </w:rPr>
        <w:t xml:space="preserve">    </w:t>
      </w:r>
      <w:r>
        <w:rPr>
          <w:rFonts w:hint="eastAsia" w:ascii="仿宋_GB2312" w:hAnsi="宋体" w:eastAsia="仿宋_GB2312"/>
          <w:sz w:val="22"/>
          <w:szCs w:val="22"/>
        </w:rPr>
        <w:t>日</w:t>
      </w:r>
    </w:p>
    <w:p>
      <w:pPr>
        <w:spacing w:before="240" w:line="300" w:lineRule="auto"/>
        <w:rPr>
          <w:rFonts w:ascii="仿宋_GB2312" w:hAnsi="宋体" w:eastAsia="仿宋_GB2312"/>
          <w:sz w:val="24"/>
        </w:rPr>
      </w:pPr>
      <w:r>
        <w:rPr>
          <w:rFonts w:hint="eastAsia" w:ascii="仿宋_GB2312" w:hAnsi="宋体" w:eastAsia="仿宋_GB2312"/>
          <w:sz w:val="24"/>
        </w:rPr>
        <w:t>响应人全称：</w:t>
      </w:r>
      <w:r>
        <w:rPr>
          <w:rFonts w:ascii="仿宋_GB2312" w:hAnsi="宋体" w:eastAsia="仿宋_GB2312"/>
          <w:sz w:val="24"/>
          <w:u w:val="single"/>
        </w:rPr>
        <w:t xml:space="preserve">                                            （加盖公章） </w:t>
      </w:r>
    </w:p>
    <w:p>
      <w:pPr>
        <w:spacing w:line="300" w:lineRule="auto"/>
        <w:rPr>
          <w:rFonts w:ascii="仿宋_GB2312" w:hAnsi="宋体" w:eastAsia="仿宋_GB2312"/>
          <w:sz w:val="24"/>
          <w:u w:val="single"/>
        </w:rPr>
      </w:pPr>
      <w:r>
        <w:rPr>
          <w:rFonts w:hint="eastAsia" w:ascii="仿宋_GB2312" w:hAnsi="宋体" w:eastAsia="仿宋_GB2312"/>
          <w:sz w:val="24"/>
        </w:rPr>
        <w:t>地</w:t>
      </w:r>
      <w:r>
        <w:rPr>
          <w:rFonts w:ascii="仿宋_GB2312" w:hAnsi="宋体" w:eastAsia="仿宋_GB2312"/>
          <w:sz w:val="24"/>
        </w:rPr>
        <w:t xml:space="preserve">      </w:t>
      </w:r>
      <w:r>
        <w:rPr>
          <w:rFonts w:hint="eastAsia" w:ascii="仿宋_GB2312" w:hAnsi="宋体" w:eastAsia="仿宋_GB2312"/>
          <w:sz w:val="24"/>
        </w:rPr>
        <w:t>址：</w:t>
      </w:r>
      <w:r>
        <w:rPr>
          <w:rFonts w:ascii="仿宋_GB2312" w:hAnsi="宋体" w:eastAsia="仿宋_GB2312"/>
          <w:sz w:val="24"/>
          <w:u w:val="single"/>
        </w:rPr>
        <w:t xml:space="preserve">                                                         </w:t>
      </w:r>
      <w:bookmarkStart w:id="169" w:name="_Toc334797774"/>
    </w:p>
    <w:p>
      <w:pPr>
        <w:snapToGrid w:val="0"/>
        <w:spacing w:before="240"/>
        <w:outlineLvl w:val="1"/>
        <w:rPr>
          <w:rFonts w:ascii="仿宋_GB2312" w:hAnsi="宋体" w:eastAsia="仿宋_GB2312"/>
          <w:b/>
          <w:sz w:val="32"/>
          <w:szCs w:val="28"/>
        </w:rPr>
      </w:pPr>
      <w:r>
        <w:rPr>
          <w:rFonts w:ascii="仿宋_GB2312" w:hAnsi="宋体" w:eastAsia="仿宋_GB2312"/>
          <w:sz w:val="28"/>
          <w:szCs w:val="28"/>
          <w:u w:val="single"/>
        </w:rPr>
        <w:br w:type="page"/>
      </w:r>
      <w:bookmarkEnd w:id="169"/>
      <w:bookmarkStart w:id="170" w:name="_Toc245819135"/>
      <w:bookmarkStart w:id="171" w:name="_Toc533776647"/>
      <w:bookmarkStart w:id="172" w:name="_Toc35617601"/>
      <w:bookmarkStart w:id="173" w:name="_Toc533236397"/>
      <w:bookmarkStart w:id="174" w:name="_Toc334797772"/>
      <w:bookmarkStart w:id="175" w:name="_Toc533236403"/>
      <w:r>
        <w:rPr>
          <w:rFonts w:hint="eastAsia" w:ascii="仿宋_GB2312" w:hAnsi="宋体" w:eastAsia="仿宋_GB2312"/>
          <w:b/>
          <w:sz w:val="32"/>
          <w:szCs w:val="28"/>
        </w:rPr>
        <w:t>格式</w:t>
      </w:r>
      <w:bookmarkEnd w:id="170"/>
      <w:bookmarkStart w:id="176" w:name="_Toc245819136"/>
      <w:r>
        <w:rPr>
          <w:rFonts w:hint="eastAsia" w:ascii="仿宋_GB2312" w:hAnsi="宋体" w:eastAsia="仿宋_GB2312"/>
          <w:b/>
          <w:sz w:val="32"/>
          <w:szCs w:val="28"/>
        </w:rPr>
        <w:t>3：资格声明函</w:t>
      </w:r>
      <w:bookmarkEnd w:id="171"/>
      <w:bookmarkEnd w:id="172"/>
    </w:p>
    <w:p>
      <w:pPr>
        <w:spacing w:after="240"/>
        <w:jc w:val="center"/>
        <w:rPr>
          <w:rFonts w:ascii="方正小标宋简体" w:eastAsia="方正小标宋简体"/>
          <w:sz w:val="36"/>
        </w:rPr>
      </w:pPr>
      <w:r>
        <w:rPr>
          <w:rFonts w:hint="eastAsia" w:ascii="方正小标宋简体" w:eastAsia="方正小标宋简体"/>
          <w:sz w:val="36"/>
        </w:rPr>
        <w:t>资格声明函</w:t>
      </w:r>
      <w:bookmarkEnd w:id="173"/>
      <w:bookmarkEnd w:id="174"/>
      <w:bookmarkEnd w:id="176"/>
    </w:p>
    <w:p>
      <w:pPr>
        <w:spacing w:line="300" w:lineRule="auto"/>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广检检测技术（上海）有限公司</w:t>
      </w:r>
    </w:p>
    <w:p>
      <w:pPr>
        <w:spacing w:line="300" w:lineRule="auto"/>
        <w:ind w:firstLine="540"/>
        <w:rPr>
          <w:rFonts w:ascii="仿宋_GB2312" w:hAnsi="宋体" w:eastAsia="仿宋_GB2312"/>
          <w:sz w:val="28"/>
          <w:szCs w:val="28"/>
        </w:rPr>
      </w:pPr>
      <w:r>
        <w:rPr>
          <w:rFonts w:hint="eastAsia" w:ascii="仿宋_GB2312" w:hAnsi="宋体" w:eastAsia="仿宋_GB2312"/>
          <w:sz w:val="28"/>
          <w:szCs w:val="28"/>
        </w:rPr>
        <w:t>我方愿响应你方</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日发布的</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项目</w:t>
      </w:r>
      <w:r>
        <w:rPr>
          <w:rFonts w:hint="eastAsia" w:ascii="仿宋_GB2312" w:hAnsi="宋体" w:eastAsia="仿宋_GB2312"/>
          <w:sz w:val="28"/>
          <w:szCs w:val="28"/>
        </w:rPr>
        <w:t>邀请，参与响应，提供采购人需求中规定的全部内容，并按采购文件要求提交所附资格文件且声明和保证如下：</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1. 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2. 我方在参与本次响应时，符合 《中华人民共和国</w:t>
      </w:r>
      <w:r>
        <w:rPr>
          <w:rFonts w:hint="eastAsia" w:ascii="仿宋_GB2312" w:eastAsia="仿宋_GB2312"/>
          <w:sz w:val="28"/>
          <w:szCs w:val="28"/>
        </w:rPr>
        <w:t>政府采购法》第二十二条响应人资格条件要求及其他法律法规规定要求。</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3. 我方在参加本次响应近</w:t>
      </w:r>
      <w:r>
        <w:rPr>
          <w:rFonts w:hint="eastAsia" w:ascii="仿宋_GB2312" w:hAnsi="宋体" w:eastAsia="仿宋_GB2312"/>
          <w:sz w:val="28"/>
          <w:szCs w:val="28"/>
          <w:u w:val="single"/>
        </w:rPr>
        <w:t>三</w:t>
      </w:r>
      <w:r>
        <w:rPr>
          <w:rFonts w:hint="eastAsia" w:ascii="仿宋_GB2312" w:hAnsi="宋体" w:eastAsia="仿宋_GB2312"/>
          <w:sz w:val="28"/>
          <w:szCs w:val="28"/>
        </w:rPr>
        <w:t>年内，在经营活动及参与邀请响应活动中没有重大违法活动及涉嫌违规行为，并没有因而被有关部门警告或处分的记录。</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4. 我方如被选定为成交供应商，除不可抗力原因外，将在规定时间内与采购人签订合同。</w:t>
      </w:r>
    </w:p>
    <w:p>
      <w:pPr>
        <w:widowControl/>
        <w:spacing w:line="300" w:lineRule="auto"/>
        <w:jc w:val="left"/>
        <w:rPr>
          <w:rFonts w:ascii="仿宋_GB2312" w:hAnsi="宋体" w:eastAsia="仿宋_GB2312"/>
          <w:sz w:val="28"/>
          <w:szCs w:val="28"/>
        </w:rPr>
      </w:pPr>
      <w:r>
        <w:rPr>
          <w:rFonts w:hint="eastAsia" w:ascii="仿宋_GB2312" w:hAnsi="宋体" w:eastAsia="仿宋_GB2312"/>
          <w:sz w:val="28"/>
          <w:szCs w:val="28"/>
        </w:rPr>
        <w:t>如有违反上述声明之情形，采购人有权取消我方成交资格并提交相关监管部门处理。</w:t>
      </w: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bookmarkEnd w:id="175"/>
    <w:p>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End w:id="162"/>
      <w:bookmarkStart w:id="177" w:name="_Toc533776649"/>
      <w:bookmarkStart w:id="178" w:name="_Toc35617603"/>
      <w:bookmarkStart w:id="179" w:name="_Toc533236399"/>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4</w:t>
      </w:r>
      <w:r>
        <w:rPr>
          <w:rFonts w:hint="eastAsia" w:ascii="仿宋_GB2312" w:hAnsi="宋体" w:eastAsia="仿宋_GB2312"/>
          <w:b/>
          <w:sz w:val="32"/>
          <w:szCs w:val="28"/>
        </w:rPr>
        <w:t>：商务评审索引表</w:t>
      </w:r>
      <w:bookmarkEnd w:id="177"/>
      <w:bookmarkEnd w:id="178"/>
      <w:bookmarkEnd w:id="179"/>
    </w:p>
    <w:p>
      <w:pPr>
        <w:spacing w:after="240"/>
        <w:jc w:val="center"/>
        <w:rPr>
          <w:rFonts w:ascii="方正小标宋简体" w:eastAsia="方正小标宋简体"/>
          <w:sz w:val="36"/>
        </w:rPr>
      </w:pPr>
      <w:r>
        <w:rPr>
          <w:rFonts w:hint="eastAsia" w:ascii="方正小标宋简体" w:eastAsia="方正小标宋简体"/>
          <w:sz w:val="36"/>
        </w:rPr>
        <w:t>商务评审索引表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top w:val="single" w:color="auto" w:sz="12" w:space="0"/>
              <w:left w:val="single" w:color="auto" w:sz="12" w:space="0"/>
            </w:tcBorders>
            <w:shd w:val="clear" w:color="auto" w:fill="DDD9C3"/>
          </w:tcPr>
          <w:p>
            <w:pPr>
              <w:jc w:val="center"/>
              <w:rPr>
                <w:rFonts w:ascii="仿宋_GB2312" w:hAnsi="宋体" w:eastAsia="仿宋_GB2312"/>
                <w:b/>
                <w:sz w:val="24"/>
                <w:szCs w:val="28"/>
              </w:rPr>
            </w:pPr>
            <w:r>
              <w:rPr>
                <w:rFonts w:hint="eastAsia" w:ascii="仿宋_GB2312" w:hAnsi="宋体" w:eastAsia="仿宋_GB2312"/>
                <w:b/>
                <w:sz w:val="24"/>
                <w:szCs w:val="28"/>
              </w:rPr>
              <w:t>序号</w:t>
            </w:r>
          </w:p>
        </w:tc>
        <w:tc>
          <w:tcPr>
            <w:tcW w:w="3260" w:type="dxa"/>
            <w:tcBorders>
              <w:top w:val="single" w:color="auto" w:sz="12" w:space="0"/>
            </w:tcBorders>
            <w:shd w:val="clear" w:color="auto" w:fill="DDD9C3"/>
            <w:vAlign w:val="center"/>
          </w:tcPr>
          <w:p>
            <w:pPr>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402" w:type="dxa"/>
            <w:tcBorders>
              <w:top w:val="single" w:color="auto" w:sz="12" w:space="0"/>
            </w:tcBorders>
            <w:shd w:val="clear" w:color="auto" w:fill="DDD9C3"/>
            <w:vAlign w:val="center"/>
          </w:tcPr>
          <w:p>
            <w:pPr>
              <w:jc w:val="center"/>
              <w:rPr>
                <w:rFonts w:ascii="仿宋_GB2312" w:hAnsi="宋体" w:eastAsia="仿宋_GB2312"/>
                <w:b/>
                <w:sz w:val="24"/>
                <w:szCs w:val="28"/>
              </w:rPr>
            </w:pPr>
            <w:r>
              <w:rPr>
                <w:rFonts w:hint="eastAsia" w:ascii="仿宋_GB2312" w:hAnsi="宋体" w:eastAsia="仿宋_GB2312"/>
                <w:b/>
                <w:sz w:val="24"/>
                <w:szCs w:val="28"/>
              </w:rPr>
              <w:t>响应情况</w:t>
            </w:r>
          </w:p>
        </w:tc>
        <w:tc>
          <w:tcPr>
            <w:tcW w:w="2333" w:type="dxa"/>
            <w:tcBorders>
              <w:top w:val="single" w:color="auto" w:sz="12" w:space="0"/>
              <w:right w:val="single" w:color="auto" w:sz="12" w:space="0"/>
            </w:tcBorders>
            <w:shd w:val="clear" w:color="auto" w:fill="DDD9C3"/>
            <w:vAlign w:val="center"/>
          </w:tcPr>
          <w:p>
            <w:pPr>
              <w:jc w:val="center"/>
              <w:rPr>
                <w:rFonts w:ascii="仿宋_GB2312" w:hAnsi="宋体" w:eastAsia="仿宋_GB2312"/>
                <w:b/>
                <w:sz w:val="24"/>
                <w:szCs w:val="28"/>
              </w:rPr>
            </w:pPr>
            <w:r>
              <w:rPr>
                <w:rFonts w:hint="eastAsia" w:ascii="仿宋_GB2312" w:hAnsi="宋体" w:eastAsia="仿宋_GB2312"/>
                <w:b/>
                <w:sz w:val="24"/>
                <w:szCs w:val="28"/>
              </w:rPr>
              <w:t>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1</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2</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bottom w:val="single" w:color="auto" w:sz="12" w:space="0"/>
            </w:tcBorders>
            <w:vAlign w:val="center"/>
          </w:tcPr>
          <w:p>
            <w:pPr>
              <w:jc w:val="center"/>
              <w:rPr>
                <w:rFonts w:ascii="仿宋_GB2312" w:hAnsi="宋体" w:eastAsia="仿宋_GB2312"/>
                <w:sz w:val="24"/>
                <w:szCs w:val="28"/>
              </w:rPr>
            </w:pPr>
          </w:p>
        </w:tc>
        <w:tc>
          <w:tcPr>
            <w:tcW w:w="3260" w:type="dxa"/>
            <w:tcBorders>
              <w:bottom w:val="single" w:color="auto" w:sz="12" w:space="0"/>
            </w:tcBorders>
            <w:vAlign w:val="center"/>
          </w:tcPr>
          <w:p>
            <w:pPr>
              <w:rPr>
                <w:rFonts w:ascii="仿宋_GB2312" w:hAnsi="宋体" w:eastAsia="仿宋_GB2312"/>
                <w:sz w:val="24"/>
                <w:szCs w:val="28"/>
              </w:rPr>
            </w:pPr>
          </w:p>
        </w:tc>
        <w:tc>
          <w:tcPr>
            <w:tcW w:w="3402" w:type="dxa"/>
            <w:tcBorders>
              <w:bottom w:val="single" w:color="auto" w:sz="12" w:space="0"/>
            </w:tcBorders>
            <w:vAlign w:val="center"/>
          </w:tcPr>
          <w:p>
            <w:pPr>
              <w:rPr>
                <w:rFonts w:ascii="仿宋_GB2312" w:hAnsi="宋体" w:eastAsia="仿宋_GB2312"/>
                <w:sz w:val="24"/>
                <w:szCs w:val="28"/>
              </w:rPr>
            </w:pPr>
          </w:p>
        </w:tc>
        <w:tc>
          <w:tcPr>
            <w:tcW w:w="2333" w:type="dxa"/>
            <w:tcBorders>
              <w:bottom w:val="single" w:color="auto" w:sz="12" w:space="0"/>
              <w:right w:val="single" w:color="auto" w:sz="12" w:space="0"/>
            </w:tcBorders>
            <w:vAlign w:val="center"/>
          </w:tcPr>
          <w:p>
            <w:pPr>
              <w:jc w:val="center"/>
              <w:rPr>
                <w:rFonts w:ascii="仿宋_GB2312" w:hAnsi="宋体" w:eastAsia="仿宋_GB2312"/>
                <w:sz w:val="24"/>
                <w:szCs w:val="28"/>
              </w:rPr>
            </w:pPr>
          </w:p>
        </w:tc>
      </w:tr>
    </w:tbl>
    <w:p>
      <w:pPr>
        <w:spacing w:before="240"/>
        <w:rPr>
          <w:rFonts w:ascii="仿宋_GB2312" w:hAnsi="宋体" w:eastAsia="仿宋_GB2312" w:cs="宋体"/>
          <w:color w:val="000000"/>
          <w:kern w:val="0"/>
          <w:sz w:val="24"/>
          <w:szCs w:val="28"/>
        </w:rPr>
      </w:pPr>
      <w:r>
        <w:rPr>
          <w:rFonts w:hint="eastAsia" w:ascii="仿宋_GB2312" w:hAnsi="宋体" w:eastAsia="仿宋_GB2312" w:cs="宋体"/>
          <w:b/>
          <w:color w:val="000000"/>
          <w:kern w:val="0"/>
          <w:sz w:val="24"/>
          <w:szCs w:val="28"/>
        </w:rPr>
        <w:t>注：</w:t>
      </w:r>
      <w:r>
        <w:rPr>
          <w:rFonts w:hint="eastAsia" w:ascii="仿宋_GB2312" w:hAnsi="宋体" w:eastAsia="仿宋_GB2312" w:cs="宋体"/>
          <w:color w:val="000000"/>
          <w:kern w:val="0"/>
          <w:sz w:val="24"/>
          <w:szCs w:val="28"/>
        </w:rPr>
        <w:t>评审内容部分可直接引用采购文件第三章评审方法中评审细则的相应内容。</w:t>
      </w:r>
    </w:p>
    <w:p>
      <w:pPr>
        <w:spacing w:before="240"/>
        <w:rPr>
          <w:rFonts w:ascii="仿宋_GB2312" w:hAnsi="宋体" w:eastAsia="仿宋_GB2312" w:cs="宋体"/>
          <w:color w:val="000000"/>
          <w:kern w:val="0"/>
          <w:sz w:val="24"/>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napToGrid w:val="0"/>
        <w:spacing w:before="240"/>
        <w:outlineLvl w:val="1"/>
        <w:rPr>
          <w:rFonts w:ascii="仿宋_GB2312" w:hAnsi="宋体" w:eastAsia="仿宋_GB2312"/>
          <w:b/>
          <w:sz w:val="32"/>
          <w:szCs w:val="28"/>
        </w:rPr>
      </w:pPr>
      <w:r>
        <w:rPr>
          <w:rFonts w:ascii="仿宋_GB2312" w:hAnsi="宋体" w:eastAsia="仿宋_GB2312" w:cs="宋体"/>
          <w:color w:val="000000"/>
          <w:kern w:val="0"/>
          <w:sz w:val="28"/>
          <w:szCs w:val="28"/>
        </w:rPr>
        <w:br w:type="page"/>
      </w:r>
      <w:bookmarkStart w:id="180" w:name="_Toc533776650"/>
      <w:bookmarkStart w:id="181" w:name="_Toc35617604"/>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5</w:t>
      </w:r>
      <w:r>
        <w:rPr>
          <w:rFonts w:hint="eastAsia" w:ascii="仿宋_GB2312" w:hAnsi="宋体" w:eastAsia="仿宋_GB2312"/>
          <w:b/>
          <w:sz w:val="32"/>
          <w:szCs w:val="28"/>
        </w:rPr>
        <w:t>：同意采购文件条款说明</w:t>
      </w:r>
      <w:bookmarkEnd w:id="180"/>
      <w:bookmarkEnd w:id="181"/>
    </w:p>
    <w:p>
      <w:pPr>
        <w:spacing w:after="240"/>
        <w:jc w:val="center"/>
        <w:rPr>
          <w:rFonts w:ascii="方正小标宋简体" w:eastAsia="方正小标宋简体"/>
          <w:sz w:val="36"/>
        </w:rPr>
      </w:pPr>
      <w:r>
        <w:rPr>
          <w:rFonts w:hint="eastAsia" w:ascii="方正小标宋简体" w:eastAsia="方正小标宋简体"/>
          <w:sz w:val="36"/>
        </w:rPr>
        <w:t>同意采购文件条款说明</w:t>
      </w:r>
    </w:p>
    <w:p>
      <w:pPr>
        <w:widowControl/>
        <w:spacing w:line="288" w:lineRule="auto"/>
        <w:rPr>
          <w:rFonts w:ascii="仿宋_GB2312" w:hAnsi="Arial" w:eastAsia="仿宋_GB2312" w:cs="Arial"/>
          <w:b/>
          <w:color w:val="000000"/>
          <w:sz w:val="28"/>
          <w:szCs w:val="28"/>
        </w:rPr>
      </w:pPr>
      <w:r>
        <w:rPr>
          <w:rFonts w:hint="eastAsia" w:ascii="仿宋_GB2312" w:hAnsi="宋体" w:eastAsia="仿宋_GB2312" w:cs="宋体"/>
          <w:color w:val="000000"/>
          <w:kern w:val="0"/>
          <w:sz w:val="28"/>
          <w:szCs w:val="28"/>
        </w:rPr>
        <w:t>致：</w:t>
      </w:r>
      <w:r>
        <w:rPr>
          <w:rFonts w:hint="eastAsia" w:ascii="仿宋_GB2312" w:hAnsi="宋体" w:eastAsia="仿宋_GB2312" w:cs="Tahoma"/>
          <w:b/>
          <w:sz w:val="28"/>
          <w:szCs w:val="28"/>
        </w:rPr>
        <w:t>广检检测技术（上海）有限公司</w:t>
      </w:r>
    </w:p>
    <w:p>
      <w:pPr>
        <w:spacing w:line="288" w:lineRule="auto"/>
        <w:ind w:firstLine="560" w:firstLineChars="200"/>
        <w:rPr>
          <w:rFonts w:ascii="仿宋_GB2312" w:hAnsi="Arial" w:eastAsia="仿宋_GB2312" w:cs="Arial"/>
          <w:color w:val="000000"/>
          <w:sz w:val="28"/>
          <w:szCs w:val="28"/>
        </w:rPr>
      </w:pPr>
      <w:r>
        <w:rPr>
          <w:rFonts w:hint="eastAsia" w:ascii="仿宋_GB2312" w:hAnsi="宋体" w:eastAsia="仿宋_GB2312" w:cs="宋体"/>
          <w:color w:val="000000"/>
          <w:kern w:val="0"/>
          <w:sz w:val="28"/>
          <w:szCs w:val="28"/>
        </w:rPr>
        <w:t>为响应你方组织的项目名称：</w:t>
      </w:r>
      <w:r>
        <w:rPr>
          <w:rFonts w:hint="eastAsia" w:ascii="仿宋_GB2312" w:hAnsi="Arial" w:eastAsia="仿宋_GB2312" w:cs="Arial"/>
          <w:color w:val="000000"/>
          <w:kern w:val="28"/>
          <w:sz w:val="28"/>
          <w:szCs w:val="28"/>
          <w:u w:val="single"/>
        </w:rPr>
        <w:t xml:space="preserve">                   </w:t>
      </w:r>
      <w:r>
        <w:rPr>
          <w:rFonts w:hint="eastAsia" w:ascii="仿宋_GB2312" w:hAnsi="宋体" w:eastAsia="仿宋_GB2312" w:cs="宋体"/>
          <w:color w:val="000000"/>
          <w:kern w:val="0"/>
          <w:sz w:val="28"/>
          <w:szCs w:val="28"/>
        </w:rPr>
        <w:t>，我方在参与响应前已详细研究了采购文件的所有内容，包括修改文件（如果有的话）和所有已提供的参考资料以及有关附件，我方完全明白并认为此采购文件没有倾向性，也没有存在排斥潜在响应人的内容，我方并同意采购文件的相关条款。</w:t>
      </w:r>
    </w:p>
    <w:p>
      <w:pPr>
        <w:spacing w:line="288" w:lineRule="auto"/>
        <w:ind w:firstLine="638" w:firstLineChars="22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特此声明。</w:t>
      </w:r>
    </w:p>
    <w:p>
      <w:pPr>
        <w:spacing w:line="60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rPr>
          <w:rFonts w:ascii="仿宋_GB2312" w:hAnsi="宋体" w:eastAsia="仿宋_GB2312"/>
          <w:sz w:val="28"/>
          <w:szCs w:val="28"/>
        </w:rPr>
      </w:pPr>
    </w:p>
    <w:p>
      <w:pPr>
        <w:rPr>
          <w:rFonts w:ascii="仿宋_GB2312" w:eastAsia="仿宋_GB2312"/>
          <w:sz w:val="28"/>
          <w:szCs w:val="28"/>
        </w:rPr>
      </w:pPr>
    </w:p>
    <w:p>
      <w:pPr>
        <w:rPr>
          <w:rFonts w:ascii="仿宋_GB2312" w:eastAsia="仿宋_GB2312"/>
          <w:sz w:val="28"/>
          <w:szCs w:val="28"/>
        </w:rPr>
      </w:pPr>
    </w:p>
    <w:p>
      <w:pPr>
        <w:snapToGrid w:val="0"/>
        <w:spacing w:before="240"/>
        <w:outlineLvl w:val="1"/>
        <w:rPr>
          <w:rFonts w:ascii="仿宋_GB2312" w:hAnsi="宋体" w:eastAsia="仿宋_GB2312"/>
          <w:b/>
          <w:sz w:val="32"/>
          <w:szCs w:val="28"/>
        </w:rPr>
      </w:pPr>
      <w:r>
        <w:rPr>
          <w:rFonts w:ascii="仿宋_GB2312" w:eastAsia="仿宋_GB2312"/>
          <w:sz w:val="28"/>
          <w:szCs w:val="28"/>
        </w:rPr>
        <w:br w:type="page"/>
      </w:r>
      <w:bookmarkStart w:id="182" w:name="_Toc533236401"/>
      <w:bookmarkStart w:id="183" w:name="_Toc533776651"/>
      <w:bookmarkStart w:id="184" w:name="_Toc35617605"/>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6</w:t>
      </w:r>
      <w:r>
        <w:rPr>
          <w:rFonts w:hint="eastAsia" w:ascii="仿宋_GB2312" w:hAnsi="宋体" w:eastAsia="仿宋_GB2312"/>
          <w:b/>
          <w:sz w:val="32"/>
          <w:szCs w:val="28"/>
        </w:rPr>
        <w:t>：2020年至今同类项目业绩情况一览表</w:t>
      </w:r>
      <w:bookmarkEnd w:id="182"/>
      <w:bookmarkEnd w:id="183"/>
      <w:bookmarkEnd w:id="184"/>
    </w:p>
    <w:p>
      <w:pPr>
        <w:spacing w:after="240"/>
        <w:jc w:val="center"/>
        <w:rPr>
          <w:rFonts w:ascii="方正小标宋简体" w:eastAsia="方正小标宋简体"/>
          <w:sz w:val="36"/>
        </w:rPr>
      </w:pPr>
      <w:r>
        <w:rPr>
          <w:rFonts w:hint="eastAsia" w:ascii="方正小标宋简体" w:eastAsia="方正小标宋简体"/>
          <w:sz w:val="36"/>
        </w:rPr>
        <w:t>2020年至今同类项目业绩情况一览表</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w:t>
      </w:r>
      <w:r>
        <w:rPr>
          <w:rFonts w:hint="eastAsia" w:ascii="仿宋_GB2312" w:hAnsi="宋体" w:eastAsia="仿宋_GB2312"/>
          <w:bCs/>
          <w:color w:val="000000"/>
          <w:sz w:val="28"/>
          <w:szCs w:val="28"/>
        </w:rPr>
        <w:t>志愿号：</w:t>
      </w:r>
      <w:r>
        <w:rPr>
          <w:rFonts w:hint="eastAsia" w:ascii="仿宋_GB2312" w:hAnsi="宋体" w:eastAsia="仿宋_GB2312"/>
          <w:bCs/>
          <w:color w:val="000000"/>
          <w:sz w:val="28"/>
          <w:szCs w:val="28"/>
          <w:u w:val="single"/>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939"/>
        <w:gridCol w:w="1842"/>
        <w:gridCol w:w="2127"/>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5" w:type="dxa"/>
            <w:tcBorders>
              <w:top w:val="single" w:color="auto" w:sz="12" w:space="0"/>
              <w:left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序号</w:t>
            </w:r>
          </w:p>
        </w:tc>
        <w:tc>
          <w:tcPr>
            <w:tcW w:w="1939"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业主名称</w:t>
            </w:r>
          </w:p>
        </w:tc>
        <w:tc>
          <w:tcPr>
            <w:tcW w:w="1842"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项目名称</w:t>
            </w:r>
          </w:p>
        </w:tc>
        <w:tc>
          <w:tcPr>
            <w:tcW w:w="2127"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合同总价</w:t>
            </w:r>
          </w:p>
          <w:p>
            <w:pPr>
              <w:jc w:val="center"/>
              <w:rPr>
                <w:rFonts w:ascii="仿宋_GB2312" w:eastAsia="仿宋_GB2312"/>
                <w:b/>
                <w:sz w:val="24"/>
                <w:szCs w:val="28"/>
              </w:rPr>
            </w:pPr>
            <w:r>
              <w:rPr>
                <w:rFonts w:hint="eastAsia" w:ascii="仿宋_GB2312" w:eastAsia="仿宋_GB2312"/>
                <w:b/>
                <w:sz w:val="24"/>
                <w:szCs w:val="28"/>
              </w:rPr>
              <w:t>（单位/万元）</w:t>
            </w:r>
          </w:p>
        </w:tc>
        <w:tc>
          <w:tcPr>
            <w:tcW w:w="1417" w:type="dxa"/>
            <w:tcBorders>
              <w:top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签约及完成时间</w:t>
            </w:r>
          </w:p>
        </w:tc>
        <w:tc>
          <w:tcPr>
            <w:tcW w:w="1701" w:type="dxa"/>
            <w:tcBorders>
              <w:top w:val="single" w:color="auto" w:sz="12" w:space="0"/>
              <w:right w:val="single" w:color="auto" w:sz="12" w:space="0"/>
            </w:tcBorders>
            <w:shd w:val="clear" w:color="auto" w:fill="DDD9C3"/>
            <w:vAlign w:val="center"/>
          </w:tcPr>
          <w:p>
            <w:pPr>
              <w:jc w:val="center"/>
              <w:rPr>
                <w:rFonts w:ascii="仿宋_GB2312" w:eastAsia="仿宋_GB2312"/>
                <w:b/>
                <w:sz w:val="24"/>
                <w:szCs w:val="28"/>
              </w:rPr>
            </w:pPr>
            <w:r>
              <w:rPr>
                <w:rFonts w:hint="eastAsia" w:ascii="仿宋_GB2312" w:eastAsia="仿宋_GB2312"/>
                <w:b/>
                <w:sz w:val="24"/>
                <w:szCs w:val="28"/>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5" w:type="dxa"/>
            <w:tcBorders>
              <w:left w:val="single" w:color="auto" w:sz="12" w:space="0"/>
              <w:bottom w:val="single" w:color="auto" w:sz="12" w:space="0"/>
            </w:tcBorders>
            <w:vAlign w:val="center"/>
          </w:tcPr>
          <w:p>
            <w:pPr>
              <w:jc w:val="center"/>
              <w:rPr>
                <w:rFonts w:ascii="仿宋_GB2312" w:eastAsia="仿宋_GB2312"/>
                <w:sz w:val="24"/>
                <w:szCs w:val="28"/>
              </w:rPr>
            </w:pPr>
          </w:p>
        </w:tc>
        <w:tc>
          <w:tcPr>
            <w:tcW w:w="1939" w:type="dxa"/>
            <w:tcBorders>
              <w:bottom w:val="single" w:color="auto" w:sz="12" w:space="0"/>
            </w:tcBorders>
            <w:vAlign w:val="center"/>
          </w:tcPr>
          <w:p>
            <w:pPr>
              <w:jc w:val="center"/>
              <w:rPr>
                <w:rFonts w:ascii="仿宋_GB2312" w:eastAsia="仿宋_GB2312"/>
                <w:sz w:val="24"/>
                <w:szCs w:val="28"/>
              </w:rPr>
            </w:pPr>
          </w:p>
        </w:tc>
        <w:tc>
          <w:tcPr>
            <w:tcW w:w="1842" w:type="dxa"/>
            <w:tcBorders>
              <w:bottom w:val="single" w:color="auto" w:sz="12" w:space="0"/>
            </w:tcBorders>
            <w:vAlign w:val="center"/>
          </w:tcPr>
          <w:p>
            <w:pPr>
              <w:jc w:val="center"/>
              <w:rPr>
                <w:rFonts w:ascii="仿宋_GB2312" w:eastAsia="仿宋_GB2312"/>
                <w:sz w:val="24"/>
                <w:szCs w:val="28"/>
              </w:rPr>
            </w:pPr>
          </w:p>
        </w:tc>
        <w:tc>
          <w:tcPr>
            <w:tcW w:w="2127" w:type="dxa"/>
            <w:tcBorders>
              <w:bottom w:val="single" w:color="auto" w:sz="12" w:space="0"/>
            </w:tcBorders>
            <w:vAlign w:val="center"/>
          </w:tcPr>
          <w:p>
            <w:pPr>
              <w:jc w:val="center"/>
              <w:rPr>
                <w:rFonts w:ascii="仿宋_GB2312" w:eastAsia="仿宋_GB2312"/>
                <w:sz w:val="24"/>
                <w:szCs w:val="28"/>
              </w:rPr>
            </w:pPr>
          </w:p>
        </w:tc>
        <w:tc>
          <w:tcPr>
            <w:tcW w:w="1417" w:type="dxa"/>
            <w:tcBorders>
              <w:bottom w:val="single" w:color="auto" w:sz="12" w:space="0"/>
            </w:tcBorders>
            <w:vAlign w:val="center"/>
          </w:tcPr>
          <w:p>
            <w:pPr>
              <w:jc w:val="center"/>
              <w:rPr>
                <w:rFonts w:ascii="仿宋_GB2312" w:eastAsia="仿宋_GB2312"/>
                <w:sz w:val="24"/>
                <w:szCs w:val="28"/>
              </w:rPr>
            </w:pPr>
          </w:p>
        </w:tc>
        <w:tc>
          <w:tcPr>
            <w:tcW w:w="1701" w:type="dxa"/>
            <w:tcBorders>
              <w:bottom w:val="single" w:color="auto" w:sz="12" w:space="0"/>
              <w:right w:val="single" w:color="auto" w:sz="12" w:space="0"/>
            </w:tcBorders>
            <w:vAlign w:val="center"/>
          </w:tcPr>
          <w:p>
            <w:pPr>
              <w:jc w:val="center"/>
              <w:rPr>
                <w:rFonts w:ascii="仿宋_GB2312" w:eastAsia="仿宋_GB2312"/>
                <w:sz w:val="24"/>
                <w:szCs w:val="28"/>
              </w:rPr>
            </w:pPr>
          </w:p>
        </w:tc>
      </w:tr>
    </w:tbl>
    <w:p>
      <w:pPr>
        <w:spacing w:before="240" w:line="300" w:lineRule="auto"/>
        <w:ind w:left="470" w:hanging="468" w:hangingChars="195"/>
        <w:rPr>
          <w:rFonts w:ascii="仿宋_GB2312" w:hAnsi="宋体" w:eastAsia="仿宋_GB2312"/>
          <w:sz w:val="24"/>
          <w:szCs w:val="28"/>
        </w:rPr>
      </w:pPr>
      <w:r>
        <w:rPr>
          <w:rFonts w:hint="eastAsia" w:ascii="仿宋_GB2312" w:hAnsi="宋体" w:eastAsia="仿宋_GB2312"/>
          <w:b/>
          <w:sz w:val="24"/>
          <w:szCs w:val="28"/>
        </w:rPr>
        <w:t>注：</w:t>
      </w:r>
      <w:r>
        <w:rPr>
          <w:rFonts w:hint="eastAsia" w:ascii="仿宋_GB2312" w:hAnsi="宋体" w:eastAsia="仿宋_GB2312"/>
          <w:sz w:val="24"/>
          <w:szCs w:val="28"/>
        </w:rPr>
        <w:t>请附上成交通知书、合同、验收报告等同类业绩评价证明资料，评审细则另有要求的，按评审细则提供。</w:t>
      </w:r>
    </w:p>
    <w:p>
      <w:pPr>
        <w:spacing w:line="60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pStyle w:val="22"/>
        <w:spacing w:line="300" w:lineRule="auto"/>
        <w:ind w:firstLine="0"/>
        <w:rPr>
          <w:rFonts w:ascii="仿宋_GB2312" w:hAnsi="宋体" w:eastAsia="仿宋_GB2312"/>
          <w:sz w:val="28"/>
          <w:szCs w:val="28"/>
        </w:rPr>
      </w:pPr>
    </w:p>
    <w:p>
      <w:pPr>
        <w:pStyle w:val="22"/>
        <w:spacing w:line="300" w:lineRule="auto"/>
        <w:ind w:firstLine="0"/>
        <w:rPr>
          <w:rFonts w:ascii="仿宋_GB2312" w:hAnsi="宋体" w:eastAsia="仿宋_GB2312"/>
          <w:sz w:val="28"/>
          <w:szCs w:val="28"/>
        </w:rPr>
      </w:pPr>
    </w:p>
    <w:p>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Start w:id="185" w:name="_Toc35617606"/>
      <w:bookmarkStart w:id="186" w:name="_Toc533776653"/>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7</w:t>
      </w:r>
      <w:r>
        <w:rPr>
          <w:rFonts w:hint="eastAsia" w:ascii="仿宋_GB2312" w:hAnsi="宋体" w:eastAsia="仿宋_GB2312"/>
          <w:b/>
          <w:sz w:val="32"/>
          <w:szCs w:val="28"/>
        </w:rPr>
        <w:t>：响应服务方案</w:t>
      </w:r>
      <w:bookmarkEnd w:id="185"/>
      <w:bookmarkEnd w:id="186"/>
    </w:p>
    <w:p>
      <w:pPr>
        <w:spacing w:after="240"/>
        <w:jc w:val="center"/>
      </w:pPr>
      <w:r>
        <w:rPr>
          <w:rFonts w:hint="eastAsia" w:ascii="方正小标宋简体" w:eastAsia="方正小标宋简体"/>
          <w:sz w:val="36"/>
        </w:rPr>
        <w:t>响应服务方案</w:t>
      </w:r>
    </w:p>
    <w:p>
      <w:pPr>
        <w:adjustRightInd w:val="0"/>
        <w:snapToGrid w:val="0"/>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主要内容应包括但不限于以下内容（格式自定）：</w:t>
      </w:r>
    </w:p>
    <w:p>
      <w:pPr>
        <w:adjustRightInd w:val="0"/>
        <w:snapToGrid w:val="0"/>
        <w:spacing w:line="360" w:lineRule="auto"/>
        <w:rPr>
          <w:rFonts w:ascii="仿宋_GB2312" w:eastAsia="仿宋_GB2312"/>
          <w:b/>
          <w:color w:val="000000"/>
          <w:sz w:val="28"/>
          <w:szCs w:val="28"/>
        </w:rPr>
      </w:pPr>
      <w:r>
        <w:rPr>
          <w:rFonts w:hint="eastAsia" w:ascii="仿宋_GB2312" w:eastAsia="仿宋_GB2312"/>
          <w:b/>
          <w:color w:val="000000"/>
          <w:sz w:val="28"/>
          <w:szCs w:val="28"/>
        </w:rPr>
        <w:t>1.响应</w:t>
      </w:r>
      <w:r>
        <w:rPr>
          <w:rFonts w:hint="eastAsia" w:ascii="仿宋_GB2312" w:eastAsia="仿宋_GB2312"/>
          <w:b/>
          <w:sz w:val="28"/>
          <w:szCs w:val="28"/>
        </w:rPr>
        <w:t>送餐</w:t>
      </w:r>
      <w:r>
        <w:rPr>
          <w:rFonts w:hint="eastAsia" w:ascii="仿宋_GB2312" w:eastAsia="仿宋_GB2312"/>
          <w:b/>
          <w:color w:val="000000"/>
          <w:sz w:val="28"/>
          <w:szCs w:val="28"/>
        </w:rPr>
        <w:t>服务的详细情况</w:t>
      </w:r>
    </w:p>
    <w:p>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w:t>
      </w:r>
      <w:r>
        <w:rPr>
          <w:rFonts w:hint="eastAsia" w:ascii="仿宋_GB2312" w:eastAsia="仿宋_GB2312"/>
          <w:sz w:val="28"/>
          <w:szCs w:val="28"/>
        </w:rPr>
        <w:t>食品包装、运输相关事宜</w:t>
      </w:r>
      <w:r>
        <w:rPr>
          <w:rFonts w:hint="eastAsia" w:ascii="仿宋_GB2312" w:hAnsi="宋体" w:eastAsia="仿宋_GB2312"/>
          <w:color w:val="000000"/>
          <w:sz w:val="28"/>
          <w:szCs w:val="28"/>
        </w:rPr>
        <w:t>。</w:t>
      </w:r>
    </w:p>
    <w:p>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pPr>
        <w:adjustRightInd w:val="0"/>
        <w:snapToGrid w:val="0"/>
        <w:spacing w:line="360" w:lineRule="auto"/>
        <w:rPr>
          <w:rFonts w:ascii="仿宋_GB2312" w:hAnsi="Arial" w:eastAsia="仿宋_GB2312"/>
          <w:b/>
          <w:color w:val="000000"/>
          <w:sz w:val="28"/>
          <w:szCs w:val="28"/>
        </w:rPr>
      </w:pPr>
      <w:r>
        <w:rPr>
          <w:rFonts w:hint="eastAsia" w:ascii="仿宋_GB2312" w:eastAsia="仿宋_GB2312"/>
          <w:b/>
          <w:color w:val="000000"/>
          <w:sz w:val="28"/>
          <w:szCs w:val="28"/>
        </w:rPr>
        <w:t>2.响应</w:t>
      </w:r>
      <w:r>
        <w:rPr>
          <w:rFonts w:hint="eastAsia" w:ascii="仿宋_GB2312" w:eastAsia="仿宋_GB2312"/>
          <w:b/>
          <w:sz w:val="28"/>
          <w:szCs w:val="28"/>
        </w:rPr>
        <w:t>送餐</w:t>
      </w:r>
      <w:r>
        <w:rPr>
          <w:rFonts w:hint="eastAsia" w:ascii="仿宋_GB2312" w:eastAsia="仿宋_GB2312"/>
          <w:b/>
          <w:color w:val="000000"/>
          <w:sz w:val="28"/>
          <w:szCs w:val="28"/>
        </w:rPr>
        <w:t>服务方案</w:t>
      </w:r>
    </w:p>
    <w:p>
      <w:pPr>
        <w:pStyle w:val="83"/>
        <w:numPr>
          <w:ilvl w:val="1"/>
          <w:numId w:val="2"/>
        </w:numPr>
        <w:adjustRightInd w:val="0"/>
        <w:snapToGrid w:val="0"/>
        <w:spacing w:line="360" w:lineRule="auto"/>
        <w:ind w:firstLineChars="0"/>
        <w:rPr>
          <w:rFonts w:ascii="仿宋_GB2312" w:eastAsia="仿宋_GB2312"/>
          <w:color w:val="000000"/>
          <w:sz w:val="28"/>
          <w:szCs w:val="28"/>
        </w:rPr>
      </w:pPr>
      <w:r>
        <w:rPr>
          <w:rFonts w:hint="eastAsia" w:ascii="仿宋_GB2312" w:hAnsi="宋体" w:eastAsia="仿宋_GB2312" w:cs="宋体"/>
          <w:color w:val="000000"/>
          <w:sz w:val="28"/>
          <w:szCs w:val="28"/>
        </w:rPr>
        <w:t>食品质量保证、安全保障措施；</w:t>
      </w:r>
    </w:p>
    <w:p>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整体供货、</w:t>
      </w:r>
      <w:r>
        <w:rPr>
          <w:rFonts w:hint="eastAsia" w:ascii="仿宋_GB2312" w:eastAsia="仿宋_GB2312" w:cs="宋体"/>
          <w:color w:val="000000"/>
          <w:sz w:val="28"/>
          <w:szCs w:val="28"/>
        </w:rPr>
        <w:t>配送方案；</w:t>
      </w:r>
    </w:p>
    <w:p>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服务承诺，如何响应调整菜谱，食品安全事故的解决等方案；</w:t>
      </w:r>
    </w:p>
    <w:p>
      <w:pPr>
        <w:numPr>
          <w:ilvl w:val="1"/>
          <w:numId w:val="2"/>
        </w:numPr>
        <w:adjustRightInd w:val="0"/>
        <w:snapToGrid w:val="0"/>
        <w:spacing w:line="360" w:lineRule="auto"/>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pPr>
        <w:adjustRightInd w:val="0"/>
        <w:snapToGrid w:val="0"/>
        <w:spacing w:line="360" w:lineRule="auto"/>
        <w:rPr>
          <w:rFonts w:ascii="仿宋_GB2312" w:hAnsi="宋体" w:eastAsia="仿宋_GB2312"/>
          <w:color w:val="000000"/>
          <w:sz w:val="28"/>
          <w:szCs w:val="28"/>
        </w:rPr>
      </w:pPr>
    </w:p>
    <w:p>
      <w:pPr>
        <w:adjustRightInd w:val="0"/>
        <w:snapToGrid w:val="0"/>
        <w:spacing w:line="360" w:lineRule="auto"/>
        <w:rPr>
          <w:rFonts w:ascii="仿宋_GB2312" w:hAnsi="宋体" w:eastAsia="仿宋_GB2312"/>
          <w:color w:val="000000"/>
          <w:sz w:val="28"/>
          <w:szCs w:val="28"/>
        </w:rPr>
      </w:pPr>
    </w:p>
    <w:p>
      <w:pPr>
        <w:adjustRightInd w:val="0"/>
        <w:snapToGrid w:val="0"/>
        <w:spacing w:line="360" w:lineRule="auto"/>
        <w:rPr>
          <w:rFonts w:ascii="仿宋_GB2312" w:hAnsi="宋体" w:eastAsia="仿宋_GB2312"/>
          <w:color w:val="000000"/>
          <w:sz w:val="28"/>
          <w:szCs w:val="28"/>
        </w:rPr>
      </w:pPr>
    </w:p>
    <w:p>
      <w:pPr>
        <w:snapToGrid w:val="0"/>
        <w:spacing w:before="240"/>
        <w:outlineLvl w:val="1"/>
        <w:rPr>
          <w:rFonts w:ascii="仿宋_GB2312" w:hAnsi="宋体" w:eastAsia="仿宋_GB2312"/>
          <w:b/>
          <w:sz w:val="32"/>
          <w:szCs w:val="28"/>
        </w:rPr>
      </w:pPr>
      <w:r>
        <w:rPr>
          <w:rFonts w:ascii="仿宋_GB2312" w:hAnsi="宋体" w:eastAsia="仿宋_GB2312"/>
          <w:color w:val="000000"/>
          <w:sz w:val="28"/>
          <w:szCs w:val="28"/>
        </w:rPr>
        <w:br w:type="page"/>
      </w:r>
      <w:bookmarkStart w:id="187" w:name="_Toc533776654"/>
      <w:bookmarkStart w:id="188" w:name="_Toc334797781"/>
      <w:bookmarkStart w:id="189" w:name="_Toc533236404"/>
      <w:bookmarkStart w:id="190" w:name="_Toc35617607"/>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8</w:t>
      </w:r>
      <w:r>
        <w:rPr>
          <w:rFonts w:hint="eastAsia" w:ascii="仿宋_GB2312" w:hAnsi="宋体" w:eastAsia="仿宋_GB2312"/>
          <w:b/>
          <w:sz w:val="32"/>
          <w:szCs w:val="28"/>
        </w:rPr>
        <w:t>：与采购人需求差异表</w:t>
      </w:r>
      <w:bookmarkEnd w:id="187"/>
      <w:bookmarkEnd w:id="188"/>
      <w:bookmarkEnd w:id="189"/>
      <w:bookmarkEnd w:id="190"/>
    </w:p>
    <w:p>
      <w:pPr>
        <w:spacing w:after="240"/>
        <w:jc w:val="center"/>
        <w:rPr>
          <w:rFonts w:ascii="方正小标宋简体" w:eastAsia="方正小标宋简体"/>
          <w:sz w:val="36"/>
        </w:rPr>
      </w:pPr>
      <w:r>
        <w:rPr>
          <w:rFonts w:hint="eastAsia" w:ascii="方正小标宋简体" w:eastAsia="方正小标宋简体"/>
          <w:sz w:val="36"/>
        </w:rPr>
        <w:t>与采购人需求差异表</w:t>
      </w:r>
    </w:p>
    <w:p>
      <w:pPr>
        <w:spacing w:line="360" w:lineRule="auto"/>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响应人应根据其提供的服务，逐条对照采购文件“采购人需求”的内容要求填写，有差异的，不论是服务或商务上，均须在此表中列明两者的差异内容，以便查对和评审。响应人没有列出的内容或提交空表的，项目采购评审小组可视为完全响应采购文件要求。</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w:t>
      </w:r>
      <w:r>
        <w:rPr>
          <w:rFonts w:hint="eastAsia" w:ascii="仿宋_GB2312" w:hAnsi="宋体" w:eastAsia="仿宋_GB2312"/>
          <w:bCs/>
          <w:color w:val="000000"/>
          <w:sz w:val="28"/>
          <w:szCs w:val="28"/>
        </w:rPr>
        <w:t>志愿号：</w:t>
      </w:r>
      <w:r>
        <w:rPr>
          <w:rFonts w:hint="eastAsia" w:ascii="仿宋_GB2312" w:hAnsi="宋体" w:eastAsia="仿宋_GB2312"/>
          <w:bCs/>
          <w:color w:val="000000"/>
          <w:sz w:val="28"/>
          <w:szCs w:val="28"/>
          <w:u w:val="single"/>
        </w:rPr>
        <w:t xml:space="preserve">                         </w:t>
      </w:r>
    </w:p>
    <w:tbl>
      <w:tblPr>
        <w:tblStyle w:val="36"/>
        <w:tblW w:w="9811" w:type="dxa"/>
        <w:tblInd w:w="0" w:type="dxa"/>
        <w:tblLayout w:type="fixed"/>
        <w:tblCellMar>
          <w:top w:w="0" w:type="dxa"/>
          <w:left w:w="30" w:type="dxa"/>
          <w:bottom w:w="0" w:type="dxa"/>
          <w:right w:w="30" w:type="dxa"/>
        </w:tblCellMar>
      </w:tblPr>
      <w:tblGrid>
        <w:gridCol w:w="1400"/>
        <w:gridCol w:w="1040"/>
        <w:gridCol w:w="3502"/>
        <w:gridCol w:w="1736"/>
        <w:gridCol w:w="2133"/>
      </w:tblGrid>
      <w:tr>
        <w:tblPrEx>
          <w:tblCellMar>
            <w:top w:w="0" w:type="dxa"/>
            <w:left w:w="30" w:type="dxa"/>
            <w:bottom w:w="0" w:type="dxa"/>
            <w:right w:w="30" w:type="dxa"/>
          </w:tblCellMar>
        </w:tblPrEx>
        <w:trPr>
          <w:cantSplit/>
          <w:trHeight w:val="334" w:hRule="atLeast"/>
        </w:trPr>
        <w:tc>
          <w:tcPr>
            <w:tcW w:w="1400" w:type="dxa"/>
            <w:vMerge w:val="restart"/>
            <w:tcBorders>
              <w:top w:val="single" w:color="auto" w:sz="12" w:space="0"/>
              <w:left w:val="single" w:color="auto" w:sz="12"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4542" w:type="dxa"/>
            <w:gridSpan w:val="2"/>
            <w:tcBorders>
              <w:top w:val="single" w:color="auto" w:sz="12" w:space="0"/>
              <w:left w:val="single" w:color="auto" w:sz="6" w:space="0"/>
              <w:bottom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采购文件要求</w:t>
            </w:r>
          </w:p>
        </w:tc>
        <w:tc>
          <w:tcPr>
            <w:tcW w:w="3869" w:type="dxa"/>
            <w:gridSpan w:val="2"/>
            <w:tcBorders>
              <w:top w:val="single" w:color="auto" w:sz="12" w:space="0"/>
              <w:left w:val="single" w:color="auto" w:sz="6" w:space="0"/>
              <w:bottom w:val="single" w:color="auto" w:sz="6" w:space="0"/>
              <w:right w:val="single" w:color="auto" w:sz="12"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响应文件内容</w:t>
            </w:r>
          </w:p>
        </w:tc>
      </w:tr>
      <w:tr>
        <w:tblPrEx>
          <w:tblCellMar>
            <w:top w:w="0" w:type="dxa"/>
            <w:left w:w="30" w:type="dxa"/>
            <w:bottom w:w="0" w:type="dxa"/>
            <w:right w:w="30" w:type="dxa"/>
          </w:tblCellMar>
        </w:tblPrEx>
        <w:trPr>
          <w:cantSplit/>
          <w:trHeight w:val="357" w:hRule="atLeast"/>
        </w:trPr>
        <w:tc>
          <w:tcPr>
            <w:tcW w:w="1400" w:type="dxa"/>
            <w:vMerge w:val="continue"/>
            <w:tcBorders>
              <w:left w:val="single" w:color="auto" w:sz="12"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p>
        </w:tc>
        <w:tc>
          <w:tcPr>
            <w:tcW w:w="1040" w:type="dxa"/>
            <w:tcBorders>
              <w:top w:val="single" w:color="auto" w:sz="6" w:space="0"/>
              <w:left w:val="single" w:color="auto" w:sz="6"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原条目</w:t>
            </w:r>
          </w:p>
        </w:tc>
        <w:tc>
          <w:tcPr>
            <w:tcW w:w="3502" w:type="dxa"/>
            <w:tcBorders>
              <w:top w:val="single" w:color="auto" w:sz="6" w:space="0"/>
              <w:left w:val="single" w:color="auto" w:sz="6"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简要内容</w:t>
            </w:r>
          </w:p>
        </w:tc>
        <w:tc>
          <w:tcPr>
            <w:tcW w:w="1736" w:type="dxa"/>
            <w:tcBorders>
              <w:top w:val="single" w:color="auto" w:sz="6" w:space="0"/>
              <w:left w:val="single" w:color="auto" w:sz="6" w:space="0"/>
              <w:bottom w:val="single" w:color="auto" w:sz="6" w:space="0"/>
              <w:right w:val="single" w:color="auto" w:sz="6"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是否响应</w:t>
            </w:r>
          </w:p>
        </w:tc>
        <w:tc>
          <w:tcPr>
            <w:tcW w:w="2133" w:type="dxa"/>
            <w:tcBorders>
              <w:top w:val="single" w:color="auto" w:sz="6" w:space="0"/>
              <w:left w:val="single" w:color="auto" w:sz="6" w:space="0"/>
              <w:bottom w:val="single" w:color="auto" w:sz="6" w:space="0"/>
              <w:right w:val="single" w:color="auto" w:sz="12" w:space="0"/>
            </w:tcBorders>
            <w:shd w:val="clear" w:color="auto" w:fill="DDD9C3"/>
            <w:vAlign w:val="center"/>
          </w:tcPr>
          <w:p>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偏离说明</w:t>
            </w:r>
          </w:p>
        </w:tc>
      </w:tr>
      <w:tr>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1</w:t>
            </w:r>
          </w:p>
        </w:tc>
        <w:tc>
          <w:tcPr>
            <w:tcW w:w="1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一</w:t>
            </w:r>
          </w:p>
        </w:tc>
        <w:tc>
          <w:tcPr>
            <w:tcW w:w="35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宋体" w:eastAsia="仿宋_GB2312"/>
                <w:sz w:val="24"/>
                <w:szCs w:val="28"/>
              </w:rPr>
            </w:pPr>
          </w:p>
        </w:tc>
      </w:tr>
      <w:tr>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104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350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_GB2312" w:hAnsi="宋体" w:eastAsia="仿宋_GB2312"/>
                <w:sz w:val="24"/>
                <w:szCs w:val="28"/>
              </w:rPr>
            </w:pPr>
          </w:p>
        </w:tc>
      </w:tr>
    </w:tbl>
    <w:p>
      <w:pPr>
        <w:spacing w:before="240" w:line="600" w:lineRule="auto"/>
        <w:rPr>
          <w:rFonts w:ascii="仿宋_GB2312" w:hAnsi="宋体" w:eastAsia="仿宋_GB2312"/>
          <w:sz w:val="28"/>
          <w:szCs w:val="28"/>
        </w:rPr>
      </w:pPr>
    </w:p>
    <w:p>
      <w:pPr>
        <w:spacing w:before="240"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300" w:lineRule="auto"/>
        <w:rPr>
          <w:rFonts w:ascii="仿宋_GB2312" w:hAnsi="宋体" w:eastAsia="仿宋_GB2312"/>
          <w:bCs/>
          <w:color w:val="000000"/>
          <w:sz w:val="28"/>
          <w:szCs w:val="28"/>
        </w:rPr>
      </w:pPr>
    </w:p>
    <w:p>
      <w:pPr>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sectPr>
      <w:headerReference r:id="rId5" w:type="default"/>
      <w:footerReference r:id="rId6" w:type="default"/>
      <w:pgSz w:w="11906" w:h="16838"/>
      <w:pgMar w:top="936" w:right="1021" w:bottom="936" w:left="102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思源黑体 CN Medium">
    <w:altName w:val="黑体"/>
    <w:panose1 w:val="00000000000000000000"/>
    <w:charset w:val="86"/>
    <w:family w:val="swiss"/>
    <w:pitch w:val="default"/>
    <w:sig w:usb0="00000000" w:usb1="00000000" w:usb2="00000016" w:usb3="00000000" w:csb0="00060107"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187"/>
        <w:tab w:val="clear" w:pos="8306"/>
      </w:tabs>
      <w:jc w:val="both"/>
    </w:pPr>
    <w:r>
      <w:rPr>
        <w:rFonts w:hint="eastAsia" w:ascii="宋体" w:hAnsi="宋体"/>
        <w:color w:val="000000"/>
      </w:rPr>
      <w:t>项目名称：广检检测技术（上海）有限公司202</w:t>
    </w:r>
    <w:r>
      <w:rPr>
        <w:rFonts w:hint="eastAsia" w:ascii="宋体" w:hAnsi="宋体"/>
        <w:color w:val="000000"/>
        <w:lang w:val="en-US" w:eastAsia="zh-CN"/>
      </w:rPr>
      <w:t>4</w:t>
    </w:r>
    <w:r>
      <w:rPr>
        <w:rFonts w:hint="eastAsia" w:ascii="宋体" w:hAnsi="宋体"/>
        <w:color w:val="000000"/>
      </w:rPr>
      <w:t>年第一批竞选采购工作餐配送项目</w:t>
    </w:r>
    <w:r>
      <w:rPr>
        <w:rFonts w:hint="eastAsia" w:ascii="宋体" w:hAnsi="宋体"/>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236FB"/>
    <w:multiLevelType w:val="multilevel"/>
    <w:tmpl w:val="584236FB"/>
    <w:lvl w:ilvl="0" w:tentative="0">
      <w:start w:val="1"/>
      <w:numFmt w:val="decimal"/>
      <w:lvlText w:val="%1"/>
      <w:lvlJc w:val="left"/>
      <w:pPr>
        <w:ind w:left="450" w:hanging="450"/>
      </w:pPr>
      <w:rPr>
        <w:rFonts w:hint="default" w:hAnsi="Times New Roman"/>
      </w:rPr>
    </w:lvl>
    <w:lvl w:ilvl="1" w:tentative="0">
      <w:start w:val="1"/>
      <w:numFmt w:val="decimal"/>
      <w:lvlText w:val="%1.%2"/>
      <w:lvlJc w:val="left"/>
      <w:pPr>
        <w:ind w:left="720" w:hanging="720"/>
      </w:pPr>
      <w:rPr>
        <w:rFonts w:hint="default" w:hAnsi="Times New Roman"/>
      </w:rPr>
    </w:lvl>
    <w:lvl w:ilvl="2" w:tentative="0">
      <w:start w:val="1"/>
      <w:numFmt w:val="decimal"/>
      <w:lvlText w:val="%1.%2.%3"/>
      <w:lvlJc w:val="left"/>
      <w:pPr>
        <w:ind w:left="720" w:hanging="720"/>
      </w:pPr>
      <w:rPr>
        <w:rFonts w:hint="default" w:hAnsi="Times New Roman"/>
      </w:rPr>
    </w:lvl>
    <w:lvl w:ilvl="3" w:tentative="0">
      <w:start w:val="1"/>
      <w:numFmt w:val="decimal"/>
      <w:lvlText w:val="%1.%2.%3.%4"/>
      <w:lvlJc w:val="left"/>
      <w:pPr>
        <w:ind w:left="1080" w:hanging="1080"/>
      </w:pPr>
      <w:rPr>
        <w:rFonts w:hint="default" w:hAnsi="Times New Roman"/>
      </w:rPr>
    </w:lvl>
    <w:lvl w:ilvl="4" w:tentative="0">
      <w:start w:val="1"/>
      <w:numFmt w:val="decimal"/>
      <w:lvlText w:val="%1.%2.%3.%4.%5"/>
      <w:lvlJc w:val="left"/>
      <w:pPr>
        <w:ind w:left="1440" w:hanging="1440"/>
      </w:pPr>
      <w:rPr>
        <w:rFonts w:hint="default" w:hAnsi="Times New Roman"/>
      </w:rPr>
    </w:lvl>
    <w:lvl w:ilvl="5" w:tentative="0">
      <w:start w:val="1"/>
      <w:numFmt w:val="decimal"/>
      <w:lvlText w:val="%1.%2.%3.%4.%5.%6"/>
      <w:lvlJc w:val="left"/>
      <w:pPr>
        <w:ind w:left="1800" w:hanging="1800"/>
      </w:pPr>
      <w:rPr>
        <w:rFonts w:hint="default" w:hAnsi="Times New Roman"/>
      </w:rPr>
    </w:lvl>
    <w:lvl w:ilvl="6" w:tentative="0">
      <w:start w:val="1"/>
      <w:numFmt w:val="decimal"/>
      <w:lvlText w:val="%1.%2.%3.%4.%5.%6.%7"/>
      <w:lvlJc w:val="left"/>
      <w:pPr>
        <w:ind w:left="2160" w:hanging="2160"/>
      </w:pPr>
      <w:rPr>
        <w:rFonts w:hint="default" w:hAnsi="Times New Roman"/>
      </w:rPr>
    </w:lvl>
    <w:lvl w:ilvl="7" w:tentative="0">
      <w:start w:val="1"/>
      <w:numFmt w:val="decimal"/>
      <w:lvlText w:val="%1.%2.%3.%4.%5.%6.%7.%8"/>
      <w:lvlJc w:val="left"/>
      <w:pPr>
        <w:ind w:left="2160" w:hanging="2160"/>
      </w:pPr>
      <w:rPr>
        <w:rFonts w:hint="default" w:hAnsi="Times New Roman"/>
      </w:rPr>
    </w:lvl>
    <w:lvl w:ilvl="8" w:tentative="0">
      <w:start w:val="1"/>
      <w:numFmt w:val="decimal"/>
      <w:lvlText w:val="%1.%2.%3.%4.%5.%6.%7.%8.%9"/>
      <w:lvlJc w:val="left"/>
      <w:pPr>
        <w:ind w:left="2520" w:hanging="2520"/>
      </w:pPr>
      <w:rPr>
        <w:rFonts w:hint="default" w:hAnsi="Times New Roman"/>
      </w:rPr>
    </w:lvl>
  </w:abstractNum>
  <w:abstractNum w:abstractNumId="1">
    <w:nsid w:val="6DE35C1F"/>
    <w:multiLevelType w:val="multilevel"/>
    <w:tmpl w:val="6DE35C1F"/>
    <w:lvl w:ilvl="0" w:tentative="0">
      <w:start w:val="2"/>
      <w:numFmt w:val="decimal"/>
      <w:lvlText w:val="%1"/>
      <w:lvlJc w:val="left"/>
      <w:pPr>
        <w:ind w:left="450" w:hanging="450"/>
      </w:pPr>
      <w:rPr>
        <w:rFonts w:hint="default" w:hAnsi="宋体" w:cs="宋体"/>
      </w:rPr>
    </w:lvl>
    <w:lvl w:ilvl="1" w:tentative="0">
      <w:start w:val="1"/>
      <w:numFmt w:val="decimal"/>
      <w:lvlText w:val="%1.%2"/>
      <w:lvlJc w:val="left"/>
      <w:pPr>
        <w:ind w:left="720" w:hanging="720"/>
      </w:pPr>
      <w:rPr>
        <w:rFonts w:hint="default" w:hAnsi="宋体" w:cs="宋体"/>
      </w:rPr>
    </w:lvl>
    <w:lvl w:ilvl="2" w:tentative="0">
      <w:start w:val="1"/>
      <w:numFmt w:val="decimal"/>
      <w:lvlText w:val="%1.%2.%3"/>
      <w:lvlJc w:val="left"/>
      <w:pPr>
        <w:ind w:left="720" w:hanging="720"/>
      </w:pPr>
      <w:rPr>
        <w:rFonts w:hint="default" w:hAnsi="宋体" w:cs="宋体"/>
      </w:rPr>
    </w:lvl>
    <w:lvl w:ilvl="3" w:tentative="0">
      <w:start w:val="1"/>
      <w:numFmt w:val="decimal"/>
      <w:lvlText w:val="%1.%2.%3.%4"/>
      <w:lvlJc w:val="left"/>
      <w:pPr>
        <w:ind w:left="1080" w:hanging="1080"/>
      </w:pPr>
      <w:rPr>
        <w:rFonts w:hint="default" w:hAnsi="宋体" w:cs="宋体"/>
      </w:rPr>
    </w:lvl>
    <w:lvl w:ilvl="4" w:tentative="0">
      <w:start w:val="1"/>
      <w:numFmt w:val="decimal"/>
      <w:lvlText w:val="%1.%2.%3.%4.%5"/>
      <w:lvlJc w:val="left"/>
      <w:pPr>
        <w:ind w:left="1440" w:hanging="1440"/>
      </w:pPr>
      <w:rPr>
        <w:rFonts w:hint="default" w:hAnsi="宋体" w:cs="宋体"/>
      </w:rPr>
    </w:lvl>
    <w:lvl w:ilvl="5" w:tentative="0">
      <w:start w:val="1"/>
      <w:numFmt w:val="decimal"/>
      <w:lvlText w:val="%1.%2.%3.%4.%5.%6"/>
      <w:lvlJc w:val="left"/>
      <w:pPr>
        <w:ind w:left="1800" w:hanging="1800"/>
      </w:pPr>
      <w:rPr>
        <w:rFonts w:hint="default" w:hAnsi="宋体" w:cs="宋体"/>
      </w:rPr>
    </w:lvl>
    <w:lvl w:ilvl="6" w:tentative="0">
      <w:start w:val="1"/>
      <w:numFmt w:val="decimal"/>
      <w:lvlText w:val="%1.%2.%3.%4.%5.%6.%7"/>
      <w:lvlJc w:val="left"/>
      <w:pPr>
        <w:ind w:left="2160" w:hanging="2160"/>
      </w:pPr>
      <w:rPr>
        <w:rFonts w:hint="default" w:hAnsi="宋体" w:cs="宋体"/>
      </w:rPr>
    </w:lvl>
    <w:lvl w:ilvl="7" w:tentative="0">
      <w:start w:val="1"/>
      <w:numFmt w:val="decimal"/>
      <w:lvlText w:val="%1.%2.%3.%4.%5.%6.%7.%8"/>
      <w:lvlJc w:val="left"/>
      <w:pPr>
        <w:ind w:left="2160" w:hanging="2160"/>
      </w:pPr>
      <w:rPr>
        <w:rFonts w:hint="default" w:hAnsi="宋体" w:cs="宋体"/>
      </w:rPr>
    </w:lvl>
    <w:lvl w:ilvl="8" w:tentative="0">
      <w:start w:val="1"/>
      <w:numFmt w:val="decimal"/>
      <w:lvlText w:val="%1.%2.%3.%4.%5.%6.%7.%8.%9"/>
      <w:lvlJc w:val="left"/>
      <w:pPr>
        <w:ind w:left="2520" w:hanging="2520"/>
      </w:pPr>
      <w:rPr>
        <w:rFonts w:hint="default" w:hAnsi="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WYwZDJmOTJlZmYxYTY3ODY3Njc2N2YxZTAyZjgifQ=="/>
  </w:docVars>
  <w:rsids>
    <w:rsidRoot w:val="00B14668"/>
    <w:rsid w:val="00000B50"/>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2B66"/>
    <w:rsid w:val="00013508"/>
    <w:rsid w:val="000146B3"/>
    <w:rsid w:val="00015286"/>
    <w:rsid w:val="00015576"/>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253"/>
    <w:rsid w:val="0002552E"/>
    <w:rsid w:val="000257CB"/>
    <w:rsid w:val="00025CAF"/>
    <w:rsid w:val="000261DF"/>
    <w:rsid w:val="000269BE"/>
    <w:rsid w:val="00027B21"/>
    <w:rsid w:val="00027DF1"/>
    <w:rsid w:val="0003088C"/>
    <w:rsid w:val="00033049"/>
    <w:rsid w:val="000341BF"/>
    <w:rsid w:val="00036B78"/>
    <w:rsid w:val="00036CE7"/>
    <w:rsid w:val="00036F10"/>
    <w:rsid w:val="000379D3"/>
    <w:rsid w:val="00042AC4"/>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03C9"/>
    <w:rsid w:val="00071065"/>
    <w:rsid w:val="00074756"/>
    <w:rsid w:val="00074A2E"/>
    <w:rsid w:val="000759CD"/>
    <w:rsid w:val="00075C5A"/>
    <w:rsid w:val="00075F13"/>
    <w:rsid w:val="000763D6"/>
    <w:rsid w:val="000767F1"/>
    <w:rsid w:val="00077C5A"/>
    <w:rsid w:val="00077C65"/>
    <w:rsid w:val="000805B4"/>
    <w:rsid w:val="00081232"/>
    <w:rsid w:val="000823CA"/>
    <w:rsid w:val="0008249C"/>
    <w:rsid w:val="000828C8"/>
    <w:rsid w:val="00082D14"/>
    <w:rsid w:val="00083EEE"/>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3E4A"/>
    <w:rsid w:val="00094FBD"/>
    <w:rsid w:val="000954E6"/>
    <w:rsid w:val="000954EA"/>
    <w:rsid w:val="000964AE"/>
    <w:rsid w:val="00096830"/>
    <w:rsid w:val="000975EE"/>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6D2E"/>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773"/>
    <w:rsid w:val="000E183F"/>
    <w:rsid w:val="000E233A"/>
    <w:rsid w:val="000E2ACA"/>
    <w:rsid w:val="000E31A0"/>
    <w:rsid w:val="000E36BA"/>
    <w:rsid w:val="000E465B"/>
    <w:rsid w:val="000E4E32"/>
    <w:rsid w:val="000E4FF6"/>
    <w:rsid w:val="000E54E5"/>
    <w:rsid w:val="000E6182"/>
    <w:rsid w:val="000E6F6D"/>
    <w:rsid w:val="000E78BC"/>
    <w:rsid w:val="000E7C0F"/>
    <w:rsid w:val="000F07BB"/>
    <w:rsid w:val="000F0DA4"/>
    <w:rsid w:val="000F0DF1"/>
    <w:rsid w:val="000F0ED8"/>
    <w:rsid w:val="000F17BB"/>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36A7"/>
    <w:rsid w:val="001445EA"/>
    <w:rsid w:val="00144621"/>
    <w:rsid w:val="00144AA8"/>
    <w:rsid w:val="00144BC6"/>
    <w:rsid w:val="00144CBA"/>
    <w:rsid w:val="00145379"/>
    <w:rsid w:val="001456F8"/>
    <w:rsid w:val="0014621F"/>
    <w:rsid w:val="0014711E"/>
    <w:rsid w:val="00147A4A"/>
    <w:rsid w:val="00147A93"/>
    <w:rsid w:val="0015089B"/>
    <w:rsid w:val="00150C9D"/>
    <w:rsid w:val="00150D23"/>
    <w:rsid w:val="001513A2"/>
    <w:rsid w:val="001519A1"/>
    <w:rsid w:val="00151DEE"/>
    <w:rsid w:val="00153B1A"/>
    <w:rsid w:val="00153CE6"/>
    <w:rsid w:val="00154647"/>
    <w:rsid w:val="001557B8"/>
    <w:rsid w:val="001558BD"/>
    <w:rsid w:val="00155F4D"/>
    <w:rsid w:val="00156515"/>
    <w:rsid w:val="0015687A"/>
    <w:rsid w:val="001614DC"/>
    <w:rsid w:val="001619DB"/>
    <w:rsid w:val="00161ACD"/>
    <w:rsid w:val="0016240C"/>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3B5E"/>
    <w:rsid w:val="00184082"/>
    <w:rsid w:val="00184801"/>
    <w:rsid w:val="001852C3"/>
    <w:rsid w:val="00186B94"/>
    <w:rsid w:val="00186E9A"/>
    <w:rsid w:val="00186F4B"/>
    <w:rsid w:val="001870F5"/>
    <w:rsid w:val="00187291"/>
    <w:rsid w:val="00187515"/>
    <w:rsid w:val="00187995"/>
    <w:rsid w:val="0019103C"/>
    <w:rsid w:val="001914D9"/>
    <w:rsid w:val="00191A11"/>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D98"/>
    <w:rsid w:val="001A6EDD"/>
    <w:rsid w:val="001A6F8B"/>
    <w:rsid w:val="001B0A51"/>
    <w:rsid w:val="001B223C"/>
    <w:rsid w:val="001B29B5"/>
    <w:rsid w:val="001B2C12"/>
    <w:rsid w:val="001B2D3C"/>
    <w:rsid w:val="001B3011"/>
    <w:rsid w:val="001B339A"/>
    <w:rsid w:val="001B3DF4"/>
    <w:rsid w:val="001B429F"/>
    <w:rsid w:val="001B443D"/>
    <w:rsid w:val="001B4AAE"/>
    <w:rsid w:val="001B61FB"/>
    <w:rsid w:val="001B7B1B"/>
    <w:rsid w:val="001B7F78"/>
    <w:rsid w:val="001C08E3"/>
    <w:rsid w:val="001C09AB"/>
    <w:rsid w:val="001C3E78"/>
    <w:rsid w:val="001C4227"/>
    <w:rsid w:val="001C4827"/>
    <w:rsid w:val="001C53C4"/>
    <w:rsid w:val="001C5BAD"/>
    <w:rsid w:val="001C5C38"/>
    <w:rsid w:val="001C6734"/>
    <w:rsid w:val="001C691E"/>
    <w:rsid w:val="001C6B76"/>
    <w:rsid w:val="001C77B4"/>
    <w:rsid w:val="001C7A56"/>
    <w:rsid w:val="001D0768"/>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7BC"/>
    <w:rsid w:val="001F3B09"/>
    <w:rsid w:val="001F3B5D"/>
    <w:rsid w:val="001F3BD5"/>
    <w:rsid w:val="001F5C4B"/>
    <w:rsid w:val="001F6391"/>
    <w:rsid w:val="001F6585"/>
    <w:rsid w:val="001F65BA"/>
    <w:rsid w:val="001F67CB"/>
    <w:rsid w:val="001F787D"/>
    <w:rsid w:val="001F78EF"/>
    <w:rsid w:val="001F792B"/>
    <w:rsid w:val="001F7D86"/>
    <w:rsid w:val="00200879"/>
    <w:rsid w:val="0020189D"/>
    <w:rsid w:val="00201B3E"/>
    <w:rsid w:val="002025AB"/>
    <w:rsid w:val="00202A6C"/>
    <w:rsid w:val="002037F0"/>
    <w:rsid w:val="00203BCC"/>
    <w:rsid w:val="00204928"/>
    <w:rsid w:val="00205916"/>
    <w:rsid w:val="00205BB0"/>
    <w:rsid w:val="00205F09"/>
    <w:rsid w:val="00206C97"/>
    <w:rsid w:val="00206C9F"/>
    <w:rsid w:val="00207D20"/>
    <w:rsid w:val="00207FFE"/>
    <w:rsid w:val="002105A6"/>
    <w:rsid w:val="0021170C"/>
    <w:rsid w:val="002117AD"/>
    <w:rsid w:val="0021251D"/>
    <w:rsid w:val="00213065"/>
    <w:rsid w:val="00215869"/>
    <w:rsid w:val="00215FD3"/>
    <w:rsid w:val="0021609B"/>
    <w:rsid w:val="0021647B"/>
    <w:rsid w:val="00217204"/>
    <w:rsid w:val="002211C2"/>
    <w:rsid w:val="00222BF9"/>
    <w:rsid w:val="00222CAB"/>
    <w:rsid w:val="00222DD4"/>
    <w:rsid w:val="00222DDF"/>
    <w:rsid w:val="00223658"/>
    <w:rsid w:val="0022373E"/>
    <w:rsid w:val="00224243"/>
    <w:rsid w:val="002243A0"/>
    <w:rsid w:val="00224655"/>
    <w:rsid w:val="0022491C"/>
    <w:rsid w:val="00225549"/>
    <w:rsid w:val="00225817"/>
    <w:rsid w:val="0022680C"/>
    <w:rsid w:val="002304D8"/>
    <w:rsid w:val="002307DA"/>
    <w:rsid w:val="00230DA0"/>
    <w:rsid w:val="00233DEA"/>
    <w:rsid w:val="002340EA"/>
    <w:rsid w:val="00234372"/>
    <w:rsid w:val="00236C98"/>
    <w:rsid w:val="00236D73"/>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2DBD"/>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2753"/>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51"/>
    <w:rsid w:val="002A0589"/>
    <w:rsid w:val="002A0853"/>
    <w:rsid w:val="002A0E3A"/>
    <w:rsid w:val="002A1DC3"/>
    <w:rsid w:val="002A26BC"/>
    <w:rsid w:val="002A28D7"/>
    <w:rsid w:val="002A4522"/>
    <w:rsid w:val="002A4905"/>
    <w:rsid w:val="002A503C"/>
    <w:rsid w:val="002A6427"/>
    <w:rsid w:val="002A7BF9"/>
    <w:rsid w:val="002A7E5C"/>
    <w:rsid w:val="002B0459"/>
    <w:rsid w:val="002B047C"/>
    <w:rsid w:val="002B0D8F"/>
    <w:rsid w:val="002B187A"/>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0BC"/>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6480"/>
    <w:rsid w:val="002E05BB"/>
    <w:rsid w:val="002E145F"/>
    <w:rsid w:val="002E1A18"/>
    <w:rsid w:val="002E4B6E"/>
    <w:rsid w:val="002E4C72"/>
    <w:rsid w:val="002E4D43"/>
    <w:rsid w:val="002E4D89"/>
    <w:rsid w:val="002E6346"/>
    <w:rsid w:val="002F0AEF"/>
    <w:rsid w:val="002F12A6"/>
    <w:rsid w:val="002F1B09"/>
    <w:rsid w:val="002F1C67"/>
    <w:rsid w:val="002F2347"/>
    <w:rsid w:val="002F241C"/>
    <w:rsid w:val="002F251C"/>
    <w:rsid w:val="002F2642"/>
    <w:rsid w:val="002F2903"/>
    <w:rsid w:val="002F4767"/>
    <w:rsid w:val="002F6DB3"/>
    <w:rsid w:val="002F70A0"/>
    <w:rsid w:val="002F7A5F"/>
    <w:rsid w:val="002F7EDB"/>
    <w:rsid w:val="00300F8C"/>
    <w:rsid w:val="00300FE0"/>
    <w:rsid w:val="003014A9"/>
    <w:rsid w:val="0030168D"/>
    <w:rsid w:val="00302A2E"/>
    <w:rsid w:val="00302AEB"/>
    <w:rsid w:val="00303E81"/>
    <w:rsid w:val="00304272"/>
    <w:rsid w:val="0030458E"/>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153"/>
    <w:rsid w:val="003208DF"/>
    <w:rsid w:val="00321D33"/>
    <w:rsid w:val="003229D0"/>
    <w:rsid w:val="00323266"/>
    <w:rsid w:val="00323847"/>
    <w:rsid w:val="00323D16"/>
    <w:rsid w:val="00323DA0"/>
    <w:rsid w:val="00324331"/>
    <w:rsid w:val="003244AC"/>
    <w:rsid w:val="00324A2B"/>
    <w:rsid w:val="00325B09"/>
    <w:rsid w:val="0032638C"/>
    <w:rsid w:val="003263DA"/>
    <w:rsid w:val="003264E9"/>
    <w:rsid w:val="003265D6"/>
    <w:rsid w:val="0032665C"/>
    <w:rsid w:val="00326F9F"/>
    <w:rsid w:val="00330E19"/>
    <w:rsid w:val="003324AE"/>
    <w:rsid w:val="00333019"/>
    <w:rsid w:val="003338EC"/>
    <w:rsid w:val="0033390B"/>
    <w:rsid w:val="00333BF7"/>
    <w:rsid w:val="00333FBD"/>
    <w:rsid w:val="00334389"/>
    <w:rsid w:val="0033483E"/>
    <w:rsid w:val="003352CD"/>
    <w:rsid w:val="00335615"/>
    <w:rsid w:val="00335CAD"/>
    <w:rsid w:val="00336E3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0CF5"/>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5CE"/>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3F99"/>
    <w:rsid w:val="003859B4"/>
    <w:rsid w:val="00385C53"/>
    <w:rsid w:val="00386159"/>
    <w:rsid w:val="00387B5E"/>
    <w:rsid w:val="00387EAD"/>
    <w:rsid w:val="0039048C"/>
    <w:rsid w:val="003907B6"/>
    <w:rsid w:val="00390C93"/>
    <w:rsid w:val="00391257"/>
    <w:rsid w:val="0039226E"/>
    <w:rsid w:val="003927D8"/>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8FF"/>
    <w:rsid w:val="003C0992"/>
    <w:rsid w:val="003C2DC7"/>
    <w:rsid w:val="003C3757"/>
    <w:rsid w:val="003C3A5C"/>
    <w:rsid w:val="003C40A4"/>
    <w:rsid w:val="003C414B"/>
    <w:rsid w:val="003C4DE5"/>
    <w:rsid w:val="003C53ED"/>
    <w:rsid w:val="003C5778"/>
    <w:rsid w:val="003C5982"/>
    <w:rsid w:val="003C6856"/>
    <w:rsid w:val="003C71AA"/>
    <w:rsid w:val="003C71E5"/>
    <w:rsid w:val="003C737C"/>
    <w:rsid w:val="003C76FA"/>
    <w:rsid w:val="003C7F50"/>
    <w:rsid w:val="003D13D9"/>
    <w:rsid w:val="003D1A12"/>
    <w:rsid w:val="003D233B"/>
    <w:rsid w:val="003D28E0"/>
    <w:rsid w:val="003D367C"/>
    <w:rsid w:val="003D481D"/>
    <w:rsid w:val="003D493A"/>
    <w:rsid w:val="003D517F"/>
    <w:rsid w:val="003D5302"/>
    <w:rsid w:val="003D6CB3"/>
    <w:rsid w:val="003D7602"/>
    <w:rsid w:val="003D7931"/>
    <w:rsid w:val="003D7BF4"/>
    <w:rsid w:val="003D7CA8"/>
    <w:rsid w:val="003D7E09"/>
    <w:rsid w:val="003E14B1"/>
    <w:rsid w:val="003E1649"/>
    <w:rsid w:val="003E1A53"/>
    <w:rsid w:val="003E1EC7"/>
    <w:rsid w:val="003E29F6"/>
    <w:rsid w:val="003E395B"/>
    <w:rsid w:val="003E465A"/>
    <w:rsid w:val="003E60DC"/>
    <w:rsid w:val="003E6247"/>
    <w:rsid w:val="003F06E5"/>
    <w:rsid w:val="003F0CA6"/>
    <w:rsid w:val="003F142B"/>
    <w:rsid w:val="003F16C1"/>
    <w:rsid w:val="003F1984"/>
    <w:rsid w:val="003F1DE0"/>
    <w:rsid w:val="003F35D3"/>
    <w:rsid w:val="003F3D65"/>
    <w:rsid w:val="003F5732"/>
    <w:rsid w:val="003F579B"/>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76DE8"/>
    <w:rsid w:val="00480AEC"/>
    <w:rsid w:val="00480FC9"/>
    <w:rsid w:val="004812DC"/>
    <w:rsid w:val="0048239F"/>
    <w:rsid w:val="00482CC9"/>
    <w:rsid w:val="00484402"/>
    <w:rsid w:val="004854A5"/>
    <w:rsid w:val="00485B6B"/>
    <w:rsid w:val="00485E31"/>
    <w:rsid w:val="00487D22"/>
    <w:rsid w:val="0049030C"/>
    <w:rsid w:val="00491731"/>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4E5"/>
    <w:rsid w:val="004D2A7D"/>
    <w:rsid w:val="004D2CD2"/>
    <w:rsid w:val="004D378D"/>
    <w:rsid w:val="004D4158"/>
    <w:rsid w:val="004D480F"/>
    <w:rsid w:val="004D4CEB"/>
    <w:rsid w:val="004D4D12"/>
    <w:rsid w:val="004D58DC"/>
    <w:rsid w:val="004D77C0"/>
    <w:rsid w:val="004D799D"/>
    <w:rsid w:val="004E15A8"/>
    <w:rsid w:val="004E19C5"/>
    <w:rsid w:val="004E1F2A"/>
    <w:rsid w:val="004E2F41"/>
    <w:rsid w:val="004E541D"/>
    <w:rsid w:val="004E798C"/>
    <w:rsid w:val="004F0E09"/>
    <w:rsid w:val="004F0E46"/>
    <w:rsid w:val="004F2B25"/>
    <w:rsid w:val="004F3200"/>
    <w:rsid w:val="004F3E2F"/>
    <w:rsid w:val="004F46B5"/>
    <w:rsid w:val="004F4FC6"/>
    <w:rsid w:val="004F5DB2"/>
    <w:rsid w:val="004F6D49"/>
    <w:rsid w:val="004F6DA5"/>
    <w:rsid w:val="00500357"/>
    <w:rsid w:val="00500780"/>
    <w:rsid w:val="005007B2"/>
    <w:rsid w:val="00500F98"/>
    <w:rsid w:val="00502A90"/>
    <w:rsid w:val="00502EFB"/>
    <w:rsid w:val="00503741"/>
    <w:rsid w:val="0050386E"/>
    <w:rsid w:val="00504456"/>
    <w:rsid w:val="00505BCD"/>
    <w:rsid w:val="00506461"/>
    <w:rsid w:val="00506A95"/>
    <w:rsid w:val="0051029F"/>
    <w:rsid w:val="00510826"/>
    <w:rsid w:val="00511D4B"/>
    <w:rsid w:val="00514711"/>
    <w:rsid w:val="005148A8"/>
    <w:rsid w:val="00514AEA"/>
    <w:rsid w:val="005161C4"/>
    <w:rsid w:val="005165C5"/>
    <w:rsid w:val="00516C9A"/>
    <w:rsid w:val="005176D8"/>
    <w:rsid w:val="00517E5A"/>
    <w:rsid w:val="00517EEE"/>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A01"/>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581"/>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7C7"/>
    <w:rsid w:val="0056194E"/>
    <w:rsid w:val="005623A7"/>
    <w:rsid w:val="00562589"/>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88"/>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45"/>
    <w:rsid w:val="005D3BEE"/>
    <w:rsid w:val="005D424F"/>
    <w:rsid w:val="005D4A38"/>
    <w:rsid w:val="005D4CD8"/>
    <w:rsid w:val="005D4F4B"/>
    <w:rsid w:val="005D53E1"/>
    <w:rsid w:val="005D5866"/>
    <w:rsid w:val="005D5C90"/>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64C"/>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00D2"/>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6E62"/>
    <w:rsid w:val="006378BC"/>
    <w:rsid w:val="006378C8"/>
    <w:rsid w:val="00640990"/>
    <w:rsid w:val="0064156B"/>
    <w:rsid w:val="006418F2"/>
    <w:rsid w:val="006419DE"/>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0A"/>
    <w:rsid w:val="00661040"/>
    <w:rsid w:val="00661C82"/>
    <w:rsid w:val="00661D00"/>
    <w:rsid w:val="006640E8"/>
    <w:rsid w:val="006647DB"/>
    <w:rsid w:val="006648A1"/>
    <w:rsid w:val="006648A6"/>
    <w:rsid w:val="006648AE"/>
    <w:rsid w:val="00664BA3"/>
    <w:rsid w:val="00665282"/>
    <w:rsid w:val="006655C7"/>
    <w:rsid w:val="0066571C"/>
    <w:rsid w:val="00665F40"/>
    <w:rsid w:val="0066649A"/>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2B6B"/>
    <w:rsid w:val="006E3264"/>
    <w:rsid w:val="006E4607"/>
    <w:rsid w:val="006E4C80"/>
    <w:rsid w:val="006E4EFE"/>
    <w:rsid w:val="006E5D75"/>
    <w:rsid w:val="006E6243"/>
    <w:rsid w:val="006E6D64"/>
    <w:rsid w:val="006E714D"/>
    <w:rsid w:val="006E7494"/>
    <w:rsid w:val="006E78E5"/>
    <w:rsid w:val="006E7EF5"/>
    <w:rsid w:val="006F0160"/>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29D7"/>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09BA"/>
    <w:rsid w:val="00721852"/>
    <w:rsid w:val="00722DD7"/>
    <w:rsid w:val="0072467A"/>
    <w:rsid w:val="0072519C"/>
    <w:rsid w:val="00725974"/>
    <w:rsid w:val="007259A9"/>
    <w:rsid w:val="00725F21"/>
    <w:rsid w:val="007262B8"/>
    <w:rsid w:val="00727353"/>
    <w:rsid w:val="0072747B"/>
    <w:rsid w:val="00727C1E"/>
    <w:rsid w:val="00727DFE"/>
    <w:rsid w:val="007302DF"/>
    <w:rsid w:val="00731E3D"/>
    <w:rsid w:val="007329D6"/>
    <w:rsid w:val="0073431B"/>
    <w:rsid w:val="00735B02"/>
    <w:rsid w:val="007362EE"/>
    <w:rsid w:val="00737BC8"/>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8DB"/>
    <w:rsid w:val="00760B8F"/>
    <w:rsid w:val="0076197D"/>
    <w:rsid w:val="00761C27"/>
    <w:rsid w:val="00761D09"/>
    <w:rsid w:val="007629A1"/>
    <w:rsid w:val="00762C90"/>
    <w:rsid w:val="007636F5"/>
    <w:rsid w:val="0076461C"/>
    <w:rsid w:val="00764B10"/>
    <w:rsid w:val="00764FD9"/>
    <w:rsid w:val="00765047"/>
    <w:rsid w:val="0076611D"/>
    <w:rsid w:val="0076682B"/>
    <w:rsid w:val="00766978"/>
    <w:rsid w:val="00767885"/>
    <w:rsid w:val="00770AC5"/>
    <w:rsid w:val="00772484"/>
    <w:rsid w:val="00772C74"/>
    <w:rsid w:val="0077316E"/>
    <w:rsid w:val="0077390F"/>
    <w:rsid w:val="00774585"/>
    <w:rsid w:val="007749ED"/>
    <w:rsid w:val="00774A73"/>
    <w:rsid w:val="007752FE"/>
    <w:rsid w:val="007768C1"/>
    <w:rsid w:val="007768C5"/>
    <w:rsid w:val="00776AB1"/>
    <w:rsid w:val="00777627"/>
    <w:rsid w:val="007809BE"/>
    <w:rsid w:val="00780E6B"/>
    <w:rsid w:val="0078251C"/>
    <w:rsid w:val="007837E4"/>
    <w:rsid w:val="007868B0"/>
    <w:rsid w:val="007868FF"/>
    <w:rsid w:val="00786C23"/>
    <w:rsid w:val="007879B7"/>
    <w:rsid w:val="00787AA4"/>
    <w:rsid w:val="0079064C"/>
    <w:rsid w:val="00791BEE"/>
    <w:rsid w:val="0079311A"/>
    <w:rsid w:val="00793DDC"/>
    <w:rsid w:val="007944E5"/>
    <w:rsid w:val="007946E2"/>
    <w:rsid w:val="00794FFC"/>
    <w:rsid w:val="007961E9"/>
    <w:rsid w:val="00797043"/>
    <w:rsid w:val="00797994"/>
    <w:rsid w:val="00797CCB"/>
    <w:rsid w:val="00797EDD"/>
    <w:rsid w:val="007A0226"/>
    <w:rsid w:val="007A0807"/>
    <w:rsid w:val="007A08FC"/>
    <w:rsid w:val="007A0BD3"/>
    <w:rsid w:val="007A222A"/>
    <w:rsid w:val="007A321D"/>
    <w:rsid w:val="007A3AFA"/>
    <w:rsid w:val="007A4532"/>
    <w:rsid w:val="007A4DE4"/>
    <w:rsid w:val="007A568E"/>
    <w:rsid w:val="007A5AC1"/>
    <w:rsid w:val="007A5F41"/>
    <w:rsid w:val="007A66D9"/>
    <w:rsid w:val="007A6BB8"/>
    <w:rsid w:val="007A6E4F"/>
    <w:rsid w:val="007A71C2"/>
    <w:rsid w:val="007A782C"/>
    <w:rsid w:val="007A7C1F"/>
    <w:rsid w:val="007A7C47"/>
    <w:rsid w:val="007A7E6B"/>
    <w:rsid w:val="007A7FE7"/>
    <w:rsid w:val="007B092F"/>
    <w:rsid w:val="007B1021"/>
    <w:rsid w:val="007B1E9C"/>
    <w:rsid w:val="007B403D"/>
    <w:rsid w:val="007B4794"/>
    <w:rsid w:val="007B5493"/>
    <w:rsid w:val="007B56AE"/>
    <w:rsid w:val="007B5983"/>
    <w:rsid w:val="007B5F6A"/>
    <w:rsid w:val="007B6DD6"/>
    <w:rsid w:val="007B7C4F"/>
    <w:rsid w:val="007C0014"/>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3B91"/>
    <w:rsid w:val="007D4B29"/>
    <w:rsid w:val="007D66A5"/>
    <w:rsid w:val="007D6B26"/>
    <w:rsid w:val="007D6D36"/>
    <w:rsid w:val="007D6F83"/>
    <w:rsid w:val="007E251D"/>
    <w:rsid w:val="007E31BC"/>
    <w:rsid w:val="007E3C56"/>
    <w:rsid w:val="007E4B2C"/>
    <w:rsid w:val="007E4BAD"/>
    <w:rsid w:val="007E5369"/>
    <w:rsid w:val="007E650F"/>
    <w:rsid w:val="007E6CBD"/>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125"/>
    <w:rsid w:val="0080435D"/>
    <w:rsid w:val="00806E36"/>
    <w:rsid w:val="00810FDC"/>
    <w:rsid w:val="00811D21"/>
    <w:rsid w:val="00811F29"/>
    <w:rsid w:val="00812021"/>
    <w:rsid w:val="00812598"/>
    <w:rsid w:val="0081261B"/>
    <w:rsid w:val="0081264B"/>
    <w:rsid w:val="00812936"/>
    <w:rsid w:val="00812F24"/>
    <w:rsid w:val="00813898"/>
    <w:rsid w:val="008138BB"/>
    <w:rsid w:val="00813F04"/>
    <w:rsid w:val="00813FE0"/>
    <w:rsid w:val="00814508"/>
    <w:rsid w:val="0081476F"/>
    <w:rsid w:val="00814B16"/>
    <w:rsid w:val="008156D4"/>
    <w:rsid w:val="008156EA"/>
    <w:rsid w:val="008160D2"/>
    <w:rsid w:val="0081645E"/>
    <w:rsid w:val="00816A32"/>
    <w:rsid w:val="00817BD3"/>
    <w:rsid w:val="00817F03"/>
    <w:rsid w:val="00820401"/>
    <w:rsid w:val="00821E5E"/>
    <w:rsid w:val="0082208F"/>
    <w:rsid w:val="00823346"/>
    <w:rsid w:val="008233B4"/>
    <w:rsid w:val="008234DD"/>
    <w:rsid w:val="00825301"/>
    <w:rsid w:val="008258A6"/>
    <w:rsid w:val="0082605B"/>
    <w:rsid w:val="0082630F"/>
    <w:rsid w:val="008269A3"/>
    <w:rsid w:val="00826B5B"/>
    <w:rsid w:val="00827F14"/>
    <w:rsid w:val="008303C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468"/>
    <w:rsid w:val="00845512"/>
    <w:rsid w:val="00845743"/>
    <w:rsid w:val="00845B66"/>
    <w:rsid w:val="008463B1"/>
    <w:rsid w:val="00846B1F"/>
    <w:rsid w:val="0084702E"/>
    <w:rsid w:val="008471D7"/>
    <w:rsid w:val="008505EF"/>
    <w:rsid w:val="0085078A"/>
    <w:rsid w:val="00850CAA"/>
    <w:rsid w:val="0085115D"/>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704"/>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5DD"/>
    <w:rsid w:val="00887850"/>
    <w:rsid w:val="008904BA"/>
    <w:rsid w:val="00892013"/>
    <w:rsid w:val="00892786"/>
    <w:rsid w:val="00892B4C"/>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0962"/>
    <w:rsid w:val="008B1155"/>
    <w:rsid w:val="008B11C5"/>
    <w:rsid w:val="008B162B"/>
    <w:rsid w:val="008B19E5"/>
    <w:rsid w:val="008B20A9"/>
    <w:rsid w:val="008B20AF"/>
    <w:rsid w:val="008B29DB"/>
    <w:rsid w:val="008B3451"/>
    <w:rsid w:val="008B3587"/>
    <w:rsid w:val="008B37A2"/>
    <w:rsid w:val="008B4992"/>
    <w:rsid w:val="008B54B1"/>
    <w:rsid w:val="008B5871"/>
    <w:rsid w:val="008B5E08"/>
    <w:rsid w:val="008B5E87"/>
    <w:rsid w:val="008B726E"/>
    <w:rsid w:val="008B784F"/>
    <w:rsid w:val="008C0329"/>
    <w:rsid w:val="008C22E1"/>
    <w:rsid w:val="008C23E5"/>
    <w:rsid w:val="008C29BB"/>
    <w:rsid w:val="008C370A"/>
    <w:rsid w:val="008C4BA5"/>
    <w:rsid w:val="008C6E3F"/>
    <w:rsid w:val="008C6ED9"/>
    <w:rsid w:val="008C767B"/>
    <w:rsid w:val="008C76C9"/>
    <w:rsid w:val="008D0180"/>
    <w:rsid w:val="008D0F51"/>
    <w:rsid w:val="008D0FBF"/>
    <w:rsid w:val="008D24D1"/>
    <w:rsid w:val="008D2853"/>
    <w:rsid w:val="008D298D"/>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1076"/>
    <w:rsid w:val="008E21F9"/>
    <w:rsid w:val="008E2458"/>
    <w:rsid w:val="008E43ED"/>
    <w:rsid w:val="008E63CC"/>
    <w:rsid w:val="008E701B"/>
    <w:rsid w:val="008E77B7"/>
    <w:rsid w:val="008E78EB"/>
    <w:rsid w:val="008F01EF"/>
    <w:rsid w:val="008F0DAE"/>
    <w:rsid w:val="008F0E93"/>
    <w:rsid w:val="008F2134"/>
    <w:rsid w:val="008F33AF"/>
    <w:rsid w:val="008F4E65"/>
    <w:rsid w:val="008F642D"/>
    <w:rsid w:val="008F7F85"/>
    <w:rsid w:val="008F7F91"/>
    <w:rsid w:val="00900D66"/>
    <w:rsid w:val="00900E20"/>
    <w:rsid w:val="009010AE"/>
    <w:rsid w:val="009019F2"/>
    <w:rsid w:val="009034FD"/>
    <w:rsid w:val="00903A40"/>
    <w:rsid w:val="00904039"/>
    <w:rsid w:val="00904EAA"/>
    <w:rsid w:val="00905F3E"/>
    <w:rsid w:val="0090617C"/>
    <w:rsid w:val="009073A2"/>
    <w:rsid w:val="00910829"/>
    <w:rsid w:val="009108C5"/>
    <w:rsid w:val="00910FBD"/>
    <w:rsid w:val="0091278C"/>
    <w:rsid w:val="00912D5F"/>
    <w:rsid w:val="00913731"/>
    <w:rsid w:val="00914C4D"/>
    <w:rsid w:val="00915E4E"/>
    <w:rsid w:val="00917EDF"/>
    <w:rsid w:val="00921B7A"/>
    <w:rsid w:val="00922D34"/>
    <w:rsid w:val="0092324B"/>
    <w:rsid w:val="00923E8B"/>
    <w:rsid w:val="00924593"/>
    <w:rsid w:val="00924917"/>
    <w:rsid w:val="00924D4D"/>
    <w:rsid w:val="00924D51"/>
    <w:rsid w:val="00924EEB"/>
    <w:rsid w:val="00925158"/>
    <w:rsid w:val="009259BB"/>
    <w:rsid w:val="009262DF"/>
    <w:rsid w:val="0092638C"/>
    <w:rsid w:val="009265B1"/>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0CBF"/>
    <w:rsid w:val="00951BFB"/>
    <w:rsid w:val="009536B8"/>
    <w:rsid w:val="00953D5E"/>
    <w:rsid w:val="00954A80"/>
    <w:rsid w:val="00956511"/>
    <w:rsid w:val="00956D08"/>
    <w:rsid w:val="0095755D"/>
    <w:rsid w:val="009602D1"/>
    <w:rsid w:val="009606C8"/>
    <w:rsid w:val="0096093B"/>
    <w:rsid w:val="00960F4B"/>
    <w:rsid w:val="00961747"/>
    <w:rsid w:val="0096209B"/>
    <w:rsid w:val="00963B5A"/>
    <w:rsid w:val="00963CA4"/>
    <w:rsid w:val="009642A8"/>
    <w:rsid w:val="0096468A"/>
    <w:rsid w:val="00965311"/>
    <w:rsid w:val="009658B8"/>
    <w:rsid w:val="00970DE8"/>
    <w:rsid w:val="00970EAC"/>
    <w:rsid w:val="00971216"/>
    <w:rsid w:val="00971457"/>
    <w:rsid w:val="00971FB5"/>
    <w:rsid w:val="0097208D"/>
    <w:rsid w:val="0097216C"/>
    <w:rsid w:val="00973E41"/>
    <w:rsid w:val="00974D50"/>
    <w:rsid w:val="0097562E"/>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3DA"/>
    <w:rsid w:val="009A27DF"/>
    <w:rsid w:val="009A2FCC"/>
    <w:rsid w:val="009A42DB"/>
    <w:rsid w:val="009A46D1"/>
    <w:rsid w:val="009A48CD"/>
    <w:rsid w:val="009A5A23"/>
    <w:rsid w:val="009A71BE"/>
    <w:rsid w:val="009A72AB"/>
    <w:rsid w:val="009B00D3"/>
    <w:rsid w:val="009B1154"/>
    <w:rsid w:val="009B1A7C"/>
    <w:rsid w:val="009B220A"/>
    <w:rsid w:val="009B23D5"/>
    <w:rsid w:val="009B25A5"/>
    <w:rsid w:val="009B2D7E"/>
    <w:rsid w:val="009B52F7"/>
    <w:rsid w:val="009B5B72"/>
    <w:rsid w:val="009B70B2"/>
    <w:rsid w:val="009B7935"/>
    <w:rsid w:val="009B7D60"/>
    <w:rsid w:val="009C00D4"/>
    <w:rsid w:val="009C05E6"/>
    <w:rsid w:val="009C0AAB"/>
    <w:rsid w:val="009C1E91"/>
    <w:rsid w:val="009C2395"/>
    <w:rsid w:val="009C2CB7"/>
    <w:rsid w:val="009C2F07"/>
    <w:rsid w:val="009C39F6"/>
    <w:rsid w:val="009C44C5"/>
    <w:rsid w:val="009C49D1"/>
    <w:rsid w:val="009C4B5A"/>
    <w:rsid w:val="009C4F6B"/>
    <w:rsid w:val="009C74BA"/>
    <w:rsid w:val="009C7961"/>
    <w:rsid w:val="009C7989"/>
    <w:rsid w:val="009C7F88"/>
    <w:rsid w:val="009D0055"/>
    <w:rsid w:val="009D08BA"/>
    <w:rsid w:val="009D2C1F"/>
    <w:rsid w:val="009D2CC2"/>
    <w:rsid w:val="009D2D54"/>
    <w:rsid w:val="009D2DE2"/>
    <w:rsid w:val="009D2FBF"/>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76E"/>
    <w:rsid w:val="00A06DBC"/>
    <w:rsid w:val="00A06EB4"/>
    <w:rsid w:val="00A1148E"/>
    <w:rsid w:val="00A1181A"/>
    <w:rsid w:val="00A11EA6"/>
    <w:rsid w:val="00A12733"/>
    <w:rsid w:val="00A12E50"/>
    <w:rsid w:val="00A141A5"/>
    <w:rsid w:val="00A177A3"/>
    <w:rsid w:val="00A211E9"/>
    <w:rsid w:val="00A22B1D"/>
    <w:rsid w:val="00A244E7"/>
    <w:rsid w:val="00A24902"/>
    <w:rsid w:val="00A250A3"/>
    <w:rsid w:val="00A26083"/>
    <w:rsid w:val="00A2656A"/>
    <w:rsid w:val="00A26799"/>
    <w:rsid w:val="00A26C96"/>
    <w:rsid w:val="00A27683"/>
    <w:rsid w:val="00A27990"/>
    <w:rsid w:val="00A303E4"/>
    <w:rsid w:val="00A3077E"/>
    <w:rsid w:val="00A30E05"/>
    <w:rsid w:val="00A3108C"/>
    <w:rsid w:val="00A31E9C"/>
    <w:rsid w:val="00A31EF2"/>
    <w:rsid w:val="00A320D7"/>
    <w:rsid w:val="00A32932"/>
    <w:rsid w:val="00A33FF8"/>
    <w:rsid w:val="00A3412E"/>
    <w:rsid w:val="00A34437"/>
    <w:rsid w:val="00A34826"/>
    <w:rsid w:val="00A34CEC"/>
    <w:rsid w:val="00A35007"/>
    <w:rsid w:val="00A35226"/>
    <w:rsid w:val="00A35D2B"/>
    <w:rsid w:val="00A365AE"/>
    <w:rsid w:val="00A378A4"/>
    <w:rsid w:val="00A37A3C"/>
    <w:rsid w:val="00A37FDE"/>
    <w:rsid w:val="00A406C8"/>
    <w:rsid w:val="00A40F17"/>
    <w:rsid w:val="00A41E97"/>
    <w:rsid w:val="00A42A32"/>
    <w:rsid w:val="00A43C49"/>
    <w:rsid w:val="00A4405D"/>
    <w:rsid w:val="00A44764"/>
    <w:rsid w:val="00A4476D"/>
    <w:rsid w:val="00A44E4D"/>
    <w:rsid w:val="00A45E61"/>
    <w:rsid w:val="00A46ECE"/>
    <w:rsid w:val="00A47404"/>
    <w:rsid w:val="00A500FF"/>
    <w:rsid w:val="00A50357"/>
    <w:rsid w:val="00A50A0C"/>
    <w:rsid w:val="00A5179D"/>
    <w:rsid w:val="00A52D0E"/>
    <w:rsid w:val="00A537CD"/>
    <w:rsid w:val="00A53C1F"/>
    <w:rsid w:val="00A5557C"/>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4FB9"/>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86541"/>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3C13"/>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2D4F"/>
    <w:rsid w:val="00AD38D5"/>
    <w:rsid w:val="00AD3FA7"/>
    <w:rsid w:val="00AD4A76"/>
    <w:rsid w:val="00AD5133"/>
    <w:rsid w:val="00AD59FB"/>
    <w:rsid w:val="00AD655D"/>
    <w:rsid w:val="00AD67CE"/>
    <w:rsid w:val="00AD6843"/>
    <w:rsid w:val="00AD6BA1"/>
    <w:rsid w:val="00AD786E"/>
    <w:rsid w:val="00AE1675"/>
    <w:rsid w:val="00AE19DC"/>
    <w:rsid w:val="00AE1C76"/>
    <w:rsid w:val="00AE2EFF"/>
    <w:rsid w:val="00AE32D5"/>
    <w:rsid w:val="00AE4196"/>
    <w:rsid w:val="00AE4683"/>
    <w:rsid w:val="00AE62CD"/>
    <w:rsid w:val="00AE6B83"/>
    <w:rsid w:val="00AE736D"/>
    <w:rsid w:val="00AF104D"/>
    <w:rsid w:val="00AF124C"/>
    <w:rsid w:val="00AF1EB4"/>
    <w:rsid w:val="00AF2055"/>
    <w:rsid w:val="00AF21A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2E8"/>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CD4"/>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438"/>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974"/>
    <w:rsid w:val="00B61B0D"/>
    <w:rsid w:val="00B6249B"/>
    <w:rsid w:val="00B6329E"/>
    <w:rsid w:val="00B636CE"/>
    <w:rsid w:val="00B642A4"/>
    <w:rsid w:val="00B64BC3"/>
    <w:rsid w:val="00B64CDC"/>
    <w:rsid w:val="00B65424"/>
    <w:rsid w:val="00B659A5"/>
    <w:rsid w:val="00B67DB4"/>
    <w:rsid w:val="00B67FB0"/>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71D"/>
    <w:rsid w:val="00BB3B8D"/>
    <w:rsid w:val="00BB3CC5"/>
    <w:rsid w:val="00BB3D37"/>
    <w:rsid w:val="00BB4126"/>
    <w:rsid w:val="00BB42AC"/>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1740"/>
    <w:rsid w:val="00BE2029"/>
    <w:rsid w:val="00BE2DA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E0B"/>
    <w:rsid w:val="00C21E95"/>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B53"/>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B22"/>
    <w:rsid w:val="00C73E17"/>
    <w:rsid w:val="00C7497A"/>
    <w:rsid w:val="00C74B31"/>
    <w:rsid w:val="00C74EC5"/>
    <w:rsid w:val="00C75DE8"/>
    <w:rsid w:val="00C76576"/>
    <w:rsid w:val="00C76895"/>
    <w:rsid w:val="00C76EC3"/>
    <w:rsid w:val="00C800ED"/>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4C61"/>
    <w:rsid w:val="00CA58DB"/>
    <w:rsid w:val="00CA5D69"/>
    <w:rsid w:val="00CA61D1"/>
    <w:rsid w:val="00CA6862"/>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8B"/>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60D"/>
    <w:rsid w:val="00CE5DC7"/>
    <w:rsid w:val="00CE645F"/>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695"/>
    <w:rsid w:val="00D07CCD"/>
    <w:rsid w:val="00D106D5"/>
    <w:rsid w:val="00D10E20"/>
    <w:rsid w:val="00D110DE"/>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90"/>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131E"/>
    <w:rsid w:val="00D72E3F"/>
    <w:rsid w:val="00D74B06"/>
    <w:rsid w:val="00D7533A"/>
    <w:rsid w:val="00D75FA4"/>
    <w:rsid w:val="00D76419"/>
    <w:rsid w:val="00D76B92"/>
    <w:rsid w:val="00D76C61"/>
    <w:rsid w:val="00D807C5"/>
    <w:rsid w:val="00D80EB5"/>
    <w:rsid w:val="00D81ACC"/>
    <w:rsid w:val="00D81C9F"/>
    <w:rsid w:val="00D8682A"/>
    <w:rsid w:val="00D87EA3"/>
    <w:rsid w:val="00D9023D"/>
    <w:rsid w:val="00D90790"/>
    <w:rsid w:val="00D916DE"/>
    <w:rsid w:val="00D917A9"/>
    <w:rsid w:val="00D920A3"/>
    <w:rsid w:val="00D92354"/>
    <w:rsid w:val="00D924E1"/>
    <w:rsid w:val="00D925FF"/>
    <w:rsid w:val="00D9279E"/>
    <w:rsid w:val="00D92CD2"/>
    <w:rsid w:val="00D92D33"/>
    <w:rsid w:val="00D93535"/>
    <w:rsid w:val="00D94749"/>
    <w:rsid w:val="00D9486E"/>
    <w:rsid w:val="00D952AA"/>
    <w:rsid w:val="00D958C5"/>
    <w:rsid w:val="00D96698"/>
    <w:rsid w:val="00D967B8"/>
    <w:rsid w:val="00D97158"/>
    <w:rsid w:val="00DA02A6"/>
    <w:rsid w:val="00DA1CBC"/>
    <w:rsid w:val="00DA1F2E"/>
    <w:rsid w:val="00DA23E1"/>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B6F2D"/>
    <w:rsid w:val="00DC0B12"/>
    <w:rsid w:val="00DC129F"/>
    <w:rsid w:val="00DC14BD"/>
    <w:rsid w:val="00DC165E"/>
    <w:rsid w:val="00DC1B99"/>
    <w:rsid w:val="00DC1FBF"/>
    <w:rsid w:val="00DC2164"/>
    <w:rsid w:val="00DC42DB"/>
    <w:rsid w:val="00DC589B"/>
    <w:rsid w:val="00DC60FB"/>
    <w:rsid w:val="00DC716C"/>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14B"/>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06FA"/>
    <w:rsid w:val="00E01A3E"/>
    <w:rsid w:val="00E0242D"/>
    <w:rsid w:val="00E029FE"/>
    <w:rsid w:val="00E02F35"/>
    <w:rsid w:val="00E05386"/>
    <w:rsid w:val="00E053E0"/>
    <w:rsid w:val="00E05ADA"/>
    <w:rsid w:val="00E062EE"/>
    <w:rsid w:val="00E0638E"/>
    <w:rsid w:val="00E06678"/>
    <w:rsid w:val="00E066A3"/>
    <w:rsid w:val="00E07488"/>
    <w:rsid w:val="00E07EB1"/>
    <w:rsid w:val="00E111F7"/>
    <w:rsid w:val="00E11E42"/>
    <w:rsid w:val="00E129A7"/>
    <w:rsid w:val="00E12FAE"/>
    <w:rsid w:val="00E133EA"/>
    <w:rsid w:val="00E153A4"/>
    <w:rsid w:val="00E15611"/>
    <w:rsid w:val="00E1572D"/>
    <w:rsid w:val="00E16312"/>
    <w:rsid w:val="00E165A1"/>
    <w:rsid w:val="00E165ED"/>
    <w:rsid w:val="00E16C19"/>
    <w:rsid w:val="00E16C4C"/>
    <w:rsid w:val="00E17EE6"/>
    <w:rsid w:val="00E20A96"/>
    <w:rsid w:val="00E22E8C"/>
    <w:rsid w:val="00E2365D"/>
    <w:rsid w:val="00E23AF2"/>
    <w:rsid w:val="00E23E97"/>
    <w:rsid w:val="00E25AB0"/>
    <w:rsid w:val="00E269DB"/>
    <w:rsid w:val="00E26C52"/>
    <w:rsid w:val="00E27431"/>
    <w:rsid w:val="00E27DC5"/>
    <w:rsid w:val="00E27E9E"/>
    <w:rsid w:val="00E3021F"/>
    <w:rsid w:val="00E30B82"/>
    <w:rsid w:val="00E30E29"/>
    <w:rsid w:val="00E3385E"/>
    <w:rsid w:val="00E34471"/>
    <w:rsid w:val="00E34BE4"/>
    <w:rsid w:val="00E34CA5"/>
    <w:rsid w:val="00E34ECC"/>
    <w:rsid w:val="00E362A2"/>
    <w:rsid w:val="00E36722"/>
    <w:rsid w:val="00E36A7A"/>
    <w:rsid w:val="00E3797F"/>
    <w:rsid w:val="00E40268"/>
    <w:rsid w:val="00E415FE"/>
    <w:rsid w:val="00E418C2"/>
    <w:rsid w:val="00E41D94"/>
    <w:rsid w:val="00E4222E"/>
    <w:rsid w:val="00E42499"/>
    <w:rsid w:val="00E449EB"/>
    <w:rsid w:val="00E44E03"/>
    <w:rsid w:val="00E452A5"/>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6B17"/>
    <w:rsid w:val="00E777A6"/>
    <w:rsid w:val="00E7787C"/>
    <w:rsid w:val="00E80683"/>
    <w:rsid w:val="00E80E97"/>
    <w:rsid w:val="00E81A58"/>
    <w:rsid w:val="00E81A67"/>
    <w:rsid w:val="00E81D79"/>
    <w:rsid w:val="00E827CA"/>
    <w:rsid w:val="00E83643"/>
    <w:rsid w:val="00E83D7E"/>
    <w:rsid w:val="00E84C70"/>
    <w:rsid w:val="00E84D16"/>
    <w:rsid w:val="00E85184"/>
    <w:rsid w:val="00E87481"/>
    <w:rsid w:val="00E8798E"/>
    <w:rsid w:val="00E87B3A"/>
    <w:rsid w:val="00E90D8A"/>
    <w:rsid w:val="00E91187"/>
    <w:rsid w:val="00E91E3A"/>
    <w:rsid w:val="00E92B76"/>
    <w:rsid w:val="00E93595"/>
    <w:rsid w:val="00E9407B"/>
    <w:rsid w:val="00E94300"/>
    <w:rsid w:val="00E96281"/>
    <w:rsid w:val="00E97942"/>
    <w:rsid w:val="00E97C8C"/>
    <w:rsid w:val="00E97FAF"/>
    <w:rsid w:val="00EA0635"/>
    <w:rsid w:val="00EA08A4"/>
    <w:rsid w:val="00EA0FB2"/>
    <w:rsid w:val="00EA1467"/>
    <w:rsid w:val="00EA1718"/>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84B"/>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512"/>
    <w:rsid w:val="00EF761F"/>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127"/>
    <w:rsid w:val="00F433D0"/>
    <w:rsid w:val="00F43827"/>
    <w:rsid w:val="00F4487F"/>
    <w:rsid w:val="00F448DD"/>
    <w:rsid w:val="00F44DBF"/>
    <w:rsid w:val="00F459F7"/>
    <w:rsid w:val="00F45C83"/>
    <w:rsid w:val="00F462A7"/>
    <w:rsid w:val="00F4692B"/>
    <w:rsid w:val="00F469AC"/>
    <w:rsid w:val="00F46A84"/>
    <w:rsid w:val="00F509B6"/>
    <w:rsid w:val="00F5111A"/>
    <w:rsid w:val="00F52047"/>
    <w:rsid w:val="00F520D2"/>
    <w:rsid w:val="00F521ED"/>
    <w:rsid w:val="00F548B4"/>
    <w:rsid w:val="00F54966"/>
    <w:rsid w:val="00F54B1B"/>
    <w:rsid w:val="00F54FA3"/>
    <w:rsid w:val="00F55B19"/>
    <w:rsid w:val="00F55EBE"/>
    <w:rsid w:val="00F57488"/>
    <w:rsid w:val="00F57584"/>
    <w:rsid w:val="00F57FB5"/>
    <w:rsid w:val="00F6008A"/>
    <w:rsid w:val="00F6170A"/>
    <w:rsid w:val="00F61908"/>
    <w:rsid w:val="00F61D21"/>
    <w:rsid w:val="00F62170"/>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0CD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4C2A"/>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06F8"/>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D5F"/>
    <w:rsid w:val="00FF0159"/>
    <w:rsid w:val="00FF23FE"/>
    <w:rsid w:val="00FF256B"/>
    <w:rsid w:val="00FF267C"/>
    <w:rsid w:val="00FF34A2"/>
    <w:rsid w:val="00FF37DD"/>
    <w:rsid w:val="00FF5A57"/>
    <w:rsid w:val="00FF649E"/>
    <w:rsid w:val="00FF655B"/>
    <w:rsid w:val="00FF6E55"/>
    <w:rsid w:val="00FF6F25"/>
    <w:rsid w:val="00FF7457"/>
    <w:rsid w:val="00FF75E6"/>
    <w:rsid w:val="10C35DA2"/>
    <w:rsid w:val="13860D8B"/>
    <w:rsid w:val="14B510EF"/>
    <w:rsid w:val="17933173"/>
    <w:rsid w:val="17F75ED6"/>
    <w:rsid w:val="1EE15059"/>
    <w:rsid w:val="21756D3F"/>
    <w:rsid w:val="22C0247F"/>
    <w:rsid w:val="23757D3B"/>
    <w:rsid w:val="25AF0126"/>
    <w:rsid w:val="289F6A33"/>
    <w:rsid w:val="29381B2D"/>
    <w:rsid w:val="2B706474"/>
    <w:rsid w:val="2C482804"/>
    <w:rsid w:val="30A666C8"/>
    <w:rsid w:val="33E12912"/>
    <w:rsid w:val="37D6479E"/>
    <w:rsid w:val="386246CB"/>
    <w:rsid w:val="3B790A67"/>
    <w:rsid w:val="3C577194"/>
    <w:rsid w:val="42200887"/>
    <w:rsid w:val="486139CD"/>
    <w:rsid w:val="49F759DE"/>
    <w:rsid w:val="4B2D180E"/>
    <w:rsid w:val="4BE81C36"/>
    <w:rsid w:val="4CF67939"/>
    <w:rsid w:val="4E7A78C8"/>
    <w:rsid w:val="513D4EF4"/>
    <w:rsid w:val="53781DE0"/>
    <w:rsid w:val="568B6E67"/>
    <w:rsid w:val="574A5644"/>
    <w:rsid w:val="5B8E7542"/>
    <w:rsid w:val="61E27437"/>
    <w:rsid w:val="61F57929"/>
    <w:rsid w:val="62921C59"/>
    <w:rsid w:val="660640AA"/>
    <w:rsid w:val="67920D68"/>
    <w:rsid w:val="690855C1"/>
    <w:rsid w:val="6D083D95"/>
    <w:rsid w:val="6D673A8B"/>
    <w:rsid w:val="6E123A32"/>
    <w:rsid w:val="6F8D58DF"/>
    <w:rsid w:val="749852F6"/>
    <w:rsid w:val="759F4605"/>
    <w:rsid w:val="7AA34ACB"/>
    <w:rsid w:val="7C5B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autoRedefine/>
    <w:qFormat/>
    <w:uiPriority w:val="0"/>
    <w:pPr>
      <w:keepNext/>
      <w:spacing w:line="460" w:lineRule="exact"/>
      <w:outlineLvl w:val="2"/>
    </w:pPr>
    <w:rPr>
      <w:rFonts w:ascii="宋体" w:hAnsi="宋体"/>
      <w:b/>
      <w:bCs/>
      <w:sz w:val="30"/>
    </w:rPr>
  </w:style>
  <w:style w:type="paragraph" w:styleId="5">
    <w:name w:val="heading 4"/>
    <w:basedOn w:val="1"/>
    <w:next w:val="6"/>
    <w:link w:val="72"/>
    <w:autoRedefine/>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71"/>
    <w:autoRedefine/>
    <w:qFormat/>
    <w:uiPriority w:val="0"/>
    <w:pPr>
      <w:widowControl/>
      <w:tabs>
        <w:tab w:val="left" w:pos="709"/>
      </w:tabs>
      <w:spacing w:before="240" w:afterLines="50"/>
      <w:ind w:left="1008" w:hanging="1008"/>
      <w:outlineLvl w:val="4"/>
    </w:pPr>
    <w:rPr>
      <w:rFonts w:ascii="Arial" w:hAnsi="Arial"/>
      <w:kern w:val="0"/>
      <w:sz w:val="22"/>
      <w:szCs w:val="20"/>
    </w:rPr>
  </w:style>
  <w:style w:type="paragraph" w:styleId="8">
    <w:name w:val="heading 6"/>
    <w:basedOn w:val="1"/>
    <w:next w:val="1"/>
    <w:link w:val="58"/>
    <w:autoRedefine/>
    <w:qFormat/>
    <w:uiPriority w:val="0"/>
    <w:pPr>
      <w:widowControl/>
      <w:tabs>
        <w:tab w:val="left" w:pos="709"/>
      </w:tabs>
      <w:spacing w:before="240" w:afterLines="50"/>
      <w:ind w:left="1152" w:hanging="1152"/>
      <w:outlineLvl w:val="5"/>
    </w:pPr>
    <w:rPr>
      <w:rFonts w:hAnsi="Arial"/>
      <w:i/>
      <w:kern w:val="0"/>
      <w:sz w:val="22"/>
      <w:szCs w:val="20"/>
    </w:rPr>
  </w:style>
  <w:style w:type="paragraph" w:styleId="9">
    <w:name w:val="heading 7"/>
    <w:basedOn w:val="1"/>
    <w:next w:val="1"/>
    <w:link w:val="51"/>
    <w:autoRedefine/>
    <w:qFormat/>
    <w:uiPriority w:val="0"/>
    <w:pPr>
      <w:widowControl/>
      <w:tabs>
        <w:tab w:val="left" w:pos="709"/>
      </w:tabs>
      <w:spacing w:before="240" w:afterLines="50"/>
      <w:ind w:left="1296" w:hanging="1296"/>
      <w:outlineLvl w:val="6"/>
    </w:pPr>
    <w:rPr>
      <w:rFonts w:ascii="Arial" w:hAnsi="Arial"/>
      <w:kern w:val="0"/>
      <w:sz w:val="20"/>
      <w:szCs w:val="20"/>
    </w:rPr>
  </w:style>
  <w:style w:type="paragraph" w:styleId="10">
    <w:name w:val="heading 8"/>
    <w:basedOn w:val="1"/>
    <w:next w:val="1"/>
    <w:link w:val="70"/>
    <w:autoRedefine/>
    <w:qFormat/>
    <w:uiPriority w:val="0"/>
    <w:pPr>
      <w:widowControl/>
      <w:tabs>
        <w:tab w:val="left" w:pos="709"/>
      </w:tabs>
      <w:spacing w:before="240" w:afterLines="50"/>
      <w:ind w:left="1440" w:hanging="1440"/>
      <w:outlineLvl w:val="7"/>
    </w:pPr>
    <w:rPr>
      <w:rFonts w:ascii="Arial" w:hAnsi="Arial"/>
      <w:i/>
      <w:kern w:val="0"/>
      <w:sz w:val="20"/>
      <w:szCs w:val="20"/>
    </w:rPr>
  </w:style>
  <w:style w:type="paragraph" w:styleId="11">
    <w:name w:val="heading 9"/>
    <w:basedOn w:val="1"/>
    <w:next w:val="1"/>
    <w:link w:val="59"/>
    <w:autoRedefine/>
    <w:qFormat/>
    <w:uiPriority w:val="0"/>
    <w:pPr>
      <w:widowControl/>
      <w:tabs>
        <w:tab w:val="left" w:pos="709"/>
      </w:tabs>
      <w:spacing w:before="240" w:afterLines="50"/>
      <w:ind w:left="1584" w:hanging="1584"/>
      <w:outlineLvl w:val="8"/>
    </w:pPr>
    <w:rPr>
      <w:rFonts w:ascii="Arial" w:hAnsi="Arial"/>
      <w:b/>
      <w:i/>
      <w:kern w:val="0"/>
      <w:sz w:val="18"/>
      <w:szCs w:val="2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53"/>
    <w:autoRedefine/>
    <w:qFormat/>
    <w:uiPriority w:val="0"/>
    <w:pPr>
      <w:widowControl/>
      <w:ind w:firstLine="420"/>
      <w:jc w:val="left"/>
    </w:pPr>
    <w:rPr>
      <w:kern w:val="0"/>
      <w:szCs w:val="20"/>
    </w:rPr>
  </w:style>
  <w:style w:type="paragraph" w:styleId="12">
    <w:name w:val="List Bullet"/>
    <w:basedOn w:val="1"/>
    <w:autoRedefine/>
    <w:qFormat/>
    <w:uiPriority w:val="0"/>
    <w:p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3">
    <w:name w:val="Document Map"/>
    <w:basedOn w:val="1"/>
    <w:link w:val="57"/>
    <w:autoRedefine/>
    <w:semiHidden/>
    <w:qFormat/>
    <w:uiPriority w:val="0"/>
    <w:pPr>
      <w:shd w:val="clear" w:color="auto" w:fill="000080"/>
    </w:pPr>
  </w:style>
  <w:style w:type="paragraph" w:styleId="14">
    <w:name w:val="annotation text"/>
    <w:basedOn w:val="1"/>
    <w:link w:val="56"/>
    <w:autoRedefine/>
    <w:semiHidden/>
    <w:qFormat/>
    <w:uiPriority w:val="0"/>
    <w:pPr>
      <w:jc w:val="left"/>
    </w:pPr>
  </w:style>
  <w:style w:type="paragraph" w:styleId="15">
    <w:name w:val="Body Text 3"/>
    <w:basedOn w:val="1"/>
    <w:link w:val="55"/>
    <w:autoRedefine/>
    <w:qFormat/>
    <w:uiPriority w:val="0"/>
    <w:pPr>
      <w:widowControl/>
      <w:spacing w:after="120"/>
      <w:jc w:val="left"/>
    </w:pPr>
    <w:rPr>
      <w:kern w:val="0"/>
      <w:sz w:val="16"/>
      <w:szCs w:val="16"/>
    </w:rPr>
  </w:style>
  <w:style w:type="paragraph" w:styleId="16">
    <w:name w:val="List Bullet 3"/>
    <w:basedOn w:val="1"/>
    <w:autoRedefine/>
    <w:qFormat/>
    <w:uiPriority w:val="0"/>
    <w:pPr>
      <w:tabs>
        <w:tab w:val="left" w:pos="1080"/>
      </w:tabs>
      <w:ind w:left="1260" w:leftChars="172" w:hanging="899" w:hangingChars="428"/>
    </w:pPr>
  </w:style>
  <w:style w:type="paragraph" w:styleId="17">
    <w:name w:val="Body Text"/>
    <w:basedOn w:val="1"/>
    <w:link w:val="60"/>
    <w:autoRedefine/>
    <w:qFormat/>
    <w:uiPriority w:val="0"/>
    <w:rPr>
      <w:sz w:val="18"/>
      <w:szCs w:val="20"/>
    </w:rPr>
  </w:style>
  <w:style w:type="paragraph" w:styleId="18">
    <w:name w:val="Body Text Indent"/>
    <w:basedOn w:val="1"/>
    <w:link w:val="63"/>
    <w:autoRedefine/>
    <w:qFormat/>
    <w:uiPriority w:val="0"/>
    <w:pPr>
      <w:ind w:firstLine="570"/>
    </w:pPr>
    <w:rPr>
      <w:rFonts w:ascii="宋体" w:hAnsi="宋体"/>
      <w:sz w:val="28"/>
      <w:szCs w:val="20"/>
    </w:rPr>
  </w:style>
  <w:style w:type="paragraph" w:styleId="19">
    <w:name w:val="List 2"/>
    <w:basedOn w:val="1"/>
    <w:autoRedefine/>
    <w:qFormat/>
    <w:uiPriority w:val="0"/>
    <w:pPr>
      <w:ind w:left="840" w:hanging="420"/>
    </w:pPr>
  </w:style>
  <w:style w:type="paragraph" w:styleId="20">
    <w:name w:val="Block Text"/>
    <w:basedOn w:val="1"/>
    <w:autoRedefine/>
    <w:qFormat/>
    <w:uiPriority w:val="0"/>
    <w:pPr>
      <w:ind w:left="5418" w:leftChars="2580" w:right="-70" w:rightChars="-70"/>
    </w:pPr>
    <w:rPr>
      <w:rFonts w:ascii="宋体" w:hAnsi="宋体"/>
      <w:sz w:val="18"/>
      <w:szCs w:val="20"/>
    </w:rPr>
  </w:style>
  <w:style w:type="paragraph" w:styleId="21">
    <w:name w:val="toc 3"/>
    <w:basedOn w:val="1"/>
    <w:next w:val="1"/>
    <w:autoRedefine/>
    <w:qFormat/>
    <w:uiPriority w:val="39"/>
    <w:pPr>
      <w:ind w:left="420"/>
      <w:jc w:val="left"/>
    </w:pPr>
    <w:rPr>
      <w:i/>
      <w:iCs/>
    </w:rPr>
  </w:style>
  <w:style w:type="paragraph" w:styleId="22">
    <w:name w:val="Plain Text"/>
    <w:basedOn w:val="1"/>
    <w:link w:val="69"/>
    <w:autoRedefine/>
    <w:qFormat/>
    <w:uiPriority w:val="0"/>
    <w:pPr>
      <w:spacing w:line="360" w:lineRule="auto"/>
      <w:ind w:firstLine="510"/>
    </w:pPr>
    <w:rPr>
      <w:rFonts w:ascii="宋体" w:hAnsi="Courier New"/>
      <w:sz w:val="24"/>
      <w:szCs w:val="20"/>
    </w:rPr>
  </w:style>
  <w:style w:type="paragraph" w:styleId="23">
    <w:name w:val="List Number 4"/>
    <w:basedOn w:val="1"/>
    <w:autoRedefine/>
    <w:qFormat/>
    <w:uiPriority w:val="0"/>
    <w:pPr>
      <w:tabs>
        <w:tab w:val="left" w:pos="1620"/>
      </w:tabs>
      <w:ind w:left="1620" w:hanging="360"/>
    </w:pPr>
  </w:style>
  <w:style w:type="paragraph" w:styleId="24">
    <w:name w:val="Date"/>
    <w:basedOn w:val="1"/>
    <w:next w:val="1"/>
    <w:link w:val="74"/>
    <w:autoRedefine/>
    <w:qFormat/>
    <w:uiPriority w:val="0"/>
    <w:pPr>
      <w:autoSpaceDE w:val="0"/>
      <w:autoSpaceDN w:val="0"/>
      <w:adjustRightInd w:val="0"/>
      <w:spacing w:line="312" w:lineRule="atLeast"/>
    </w:pPr>
    <w:rPr>
      <w:kern w:val="0"/>
      <w:sz w:val="32"/>
      <w:szCs w:val="20"/>
    </w:rPr>
  </w:style>
  <w:style w:type="paragraph" w:styleId="25">
    <w:name w:val="Body Text Indent 2"/>
    <w:basedOn w:val="1"/>
    <w:link w:val="52"/>
    <w:autoRedefine/>
    <w:qFormat/>
    <w:uiPriority w:val="0"/>
    <w:pPr>
      <w:spacing w:after="120" w:line="480" w:lineRule="auto"/>
      <w:ind w:left="420" w:leftChars="200"/>
    </w:pPr>
  </w:style>
  <w:style w:type="paragraph" w:styleId="26">
    <w:name w:val="Balloon Text"/>
    <w:basedOn w:val="1"/>
    <w:link w:val="46"/>
    <w:autoRedefine/>
    <w:semiHidden/>
    <w:qFormat/>
    <w:uiPriority w:val="0"/>
    <w:rPr>
      <w:sz w:val="18"/>
      <w:szCs w:val="18"/>
    </w:rPr>
  </w:style>
  <w:style w:type="paragraph" w:styleId="27">
    <w:name w:val="footer"/>
    <w:basedOn w:val="1"/>
    <w:next w:val="1"/>
    <w:link w:val="64"/>
    <w:autoRedefine/>
    <w:qFormat/>
    <w:uiPriority w:val="99"/>
    <w:pPr>
      <w:pBdr>
        <w:top w:val="single" w:color="auto" w:sz="4" w:space="1"/>
      </w:pBdr>
      <w:tabs>
        <w:tab w:val="center" w:pos="4153"/>
        <w:tab w:val="right" w:pos="8306"/>
      </w:tabs>
      <w:snapToGrid w:val="0"/>
      <w:jc w:val="left"/>
    </w:pPr>
    <w:rPr>
      <w:sz w:val="18"/>
      <w:szCs w:val="18"/>
    </w:rPr>
  </w:style>
  <w:style w:type="paragraph" w:styleId="28">
    <w:name w:val="header"/>
    <w:basedOn w:val="1"/>
    <w:link w:val="54"/>
    <w:autoRedefine/>
    <w:qFormat/>
    <w:uiPriority w:val="0"/>
    <w:pPr>
      <w:pBdr>
        <w:bottom w:val="thinThickLargeGap"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9240"/>
      </w:tabs>
      <w:spacing w:line="360" w:lineRule="auto"/>
      <w:jc w:val="left"/>
    </w:pPr>
    <w:rPr>
      <w:b/>
      <w:bCs/>
      <w:caps/>
    </w:rPr>
  </w:style>
  <w:style w:type="paragraph" w:styleId="30">
    <w:name w:val="Body Text Indent 3"/>
    <w:basedOn w:val="1"/>
    <w:autoRedefine/>
    <w:qFormat/>
    <w:uiPriority w:val="0"/>
    <w:pPr>
      <w:snapToGrid w:val="0"/>
      <w:spacing w:after="120" w:line="360" w:lineRule="auto"/>
      <w:ind w:firstLine="1365"/>
    </w:pPr>
    <w:rPr>
      <w:rFonts w:ascii="宋体"/>
      <w:sz w:val="28"/>
      <w:szCs w:val="20"/>
    </w:rPr>
  </w:style>
  <w:style w:type="paragraph" w:styleId="31">
    <w:name w:val="toc 2"/>
    <w:basedOn w:val="1"/>
    <w:next w:val="1"/>
    <w:autoRedefine/>
    <w:qFormat/>
    <w:uiPriority w:val="39"/>
    <w:pPr>
      <w:ind w:left="420" w:leftChars="200"/>
    </w:pPr>
  </w:style>
  <w:style w:type="paragraph" w:styleId="32">
    <w:name w:val="Body Text 2"/>
    <w:basedOn w:val="1"/>
    <w:autoRedefine/>
    <w:qFormat/>
    <w:uiPriority w:val="0"/>
    <w:pPr>
      <w:spacing w:line="300" w:lineRule="auto"/>
    </w:pPr>
    <w:rPr>
      <w:rFonts w:ascii="宋体" w:hAnsi="宋体"/>
      <w:color w:val="0000FF"/>
      <w:sz w:val="24"/>
    </w:rPr>
  </w:style>
  <w:style w:type="paragraph" w:styleId="3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autoRedefine/>
    <w:semiHidden/>
    <w:qFormat/>
    <w:uiPriority w:val="0"/>
  </w:style>
  <w:style w:type="paragraph" w:styleId="35">
    <w:name w:val="annotation subject"/>
    <w:basedOn w:val="14"/>
    <w:next w:val="14"/>
    <w:autoRedefine/>
    <w:semiHidden/>
    <w:qFormat/>
    <w:uiPriority w:val="0"/>
    <w:rPr>
      <w:b/>
      <w:bCs/>
    </w:r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autoRedefine/>
    <w:qFormat/>
    <w:uiPriority w:val="0"/>
    <w:rPr>
      <w:rFonts w:ascii="宋体" w:hAnsi="宋体" w:eastAsia="Times New Roman"/>
      <w:spacing w:val="0"/>
      <w:kern w:val="18"/>
      <w:position w:val="0"/>
      <w:sz w:val="18"/>
      <w:szCs w:val="18"/>
    </w:rPr>
  </w:style>
  <w:style w:type="character" w:styleId="40">
    <w:name w:val="FollowedHyperlink"/>
    <w:autoRedefine/>
    <w:qFormat/>
    <w:uiPriority w:val="0"/>
    <w:rPr>
      <w:color w:val="800080"/>
      <w:u w:val="single"/>
    </w:rPr>
  </w:style>
  <w:style w:type="character" w:styleId="41">
    <w:name w:val="Hyperlink"/>
    <w:autoRedefine/>
    <w:qFormat/>
    <w:uiPriority w:val="99"/>
    <w:rPr>
      <w:color w:val="0000FF"/>
      <w:u w:val="single"/>
    </w:rPr>
  </w:style>
  <w:style w:type="character" w:styleId="42">
    <w:name w:val="annotation reference"/>
    <w:autoRedefine/>
    <w:semiHidden/>
    <w:qFormat/>
    <w:uiPriority w:val="0"/>
    <w:rPr>
      <w:sz w:val="21"/>
      <w:szCs w:val="21"/>
    </w:rPr>
  </w:style>
  <w:style w:type="paragraph" w:customStyle="1" w:styleId="43">
    <w:name w:val="正文文本首行缩进"/>
    <w:basedOn w:val="17"/>
    <w:link w:val="50"/>
    <w:autoRedefine/>
    <w:qFormat/>
    <w:uiPriority w:val="0"/>
    <w:pPr>
      <w:spacing w:after="120" w:line="360" w:lineRule="exact"/>
      <w:ind w:left="400" w:leftChars="400" w:firstLine="420" w:firstLineChars="100"/>
    </w:pPr>
    <w:rPr>
      <w:rFonts w:eastAsia="楷体_GB2312"/>
      <w:sz w:val="24"/>
      <w:szCs w:val="24"/>
    </w:rPr>
  </w:style>
  <w:style w:type="character" w:customStyle="1" w:styleId="44">
    <w:name w:val="普通文字 Char"/>
    <w:autoRedefine/>
    <w:qFormat/>
    <w:uiPriority w:val="0"/>
    <w:rPr>
      <w:rFonts w:ascii="宋体" w:hAnsi="Courier New" w:eastAsia="宋体"/>
      <w:kern w:val="2"/>
      <w:sz w:val="21"/>
      <w:lang w:val="en-US" w:eastAsia="zh-CN" w:bidi="ar-SA"/>
    </w:rPr>
  </w:style>
  <w:style w:type="character" w:customStyle="1" w:styleId="45">
    <w:name w:val="weby11"/>
    <w:autoRedefine/>
    <w:qFormat/>
    <w:uiPriority w:val="0"/>
    <w:rPr>
      <w:sz w:val="18"/>
      <w:szCs w:val="18"/>
    </w:rPr>
  </w:style>
  <w:style w:type="character" w:customStyle="1" w:styleId="46">
    <w:name w:val="批注框文本 Char"/>
    <w:link w:val="26"/>
    <w:autoRedefine/>
    <w:qFormat/>
    <w:uiPriority w:val="0"/>
    <w:rPr>
      <w:rFonts w:eastAsia="宋体"/>
      <w:kern w:val="2"/>
      <w:sz w:val="18"/>
      <w:szCs w:val="18"/>
      <w:lang w:val="en-US" w:eastAsia="zh-CN" w:bidi="ar-SA"/>
    </w:rPr>
  </w:style>
  <w:style w:type="character" w:customStyle="1" w:styleId="47">
    <w:name w:val="标题 2 Char"/>
    <w:link w:val="3"/>
    <w:autoRedefine/>
    <w:qFormat/>
    <w:uiPriority w:val="0"/>
    <w:rPr>
      <w:rFonts w:ascii="Arial" w:hAnsi="Arial" w:eastAsia="黑体"/>
      <w:b/>
      <w:bCs/>
      <w:kern w:val="2"/>
      <w:sz w:val="32"/>
      <w:szCs w:val="32"/>
      <w:lang w:val="en-US" w:eastAsia="zh-CN" w:bidi="ar-SA"/>
    </w:rPr>
  </w:style>
  <w:style w:type="character" w:customStyle="1" w:styleId="48">
    <w:name w:val="a301"/>
    <w:autoRedefine/>
    <w:qFormat/>
    <w:uiPriority w:val="0"/>
    <w:rPr>
      <w:sz w:val="18"/>
      <w:szCs w:val="18"/>
      <w:u w:val="none"/>
    </w:rPr>
  </w:style>
  <w:style w:type="character" w:customStyle="1" w:styleId="49">
    <w:name w:val="style21"/>
    <w:autoRedefine/>
    <w:qFormat/>
    <w:uiPriority w:val="0"/>
    <w:rPr>
      <w:sz w:val="22"/>
      <w:szCs w:val="22"/>
    </w:rPr>
  </w:style>
  <w:style w:type="character" w:customStyle="1" w:styleId="50">
    <w:name w:val="正文文本首行缩进 字符"/>
    <w:link w:val="43"/>
    <w:autoRedefine/>
    <w:qFormat/>
    <w:uiPriority w:val="0"/>
    <w:rPr>
      <w:rFonts w:eastAsia="楷体_GB2312"/>
      <w:kern w:val="2"/>
      <w:sz w:val="24"/>
      <w:szCs w:val="24"/>
      <w:lang w:val="en-US" w:eastAsia="zh-CN" w:bidi="ar-SA"/>
    </w:rPr>
  </w:style>
  <w:style w:type="character" w:customStyle="1" w:styleId="51">
    <w:name w:val="标题 7 Char"/>
    <w:link w:val="9"/>
    <w:autoRedefine/>
    <w:qFormat/>
    <w:uiPriority w:val="0"/>
    <w:rPr>
      <w:rFonts w:ascii="Arial" w:hAnsi="Arial"/>
    </w:rPr>
  </w:style>
  <w:style w:type="character" w:customStyle="1" w:styleId="52">
    <w:name w:val="正文文本缩进 2 Char"/>
    <w:link w:val="25"/>
    <w:autoRedefine/>
    <w:qFormat/>
    <w:uiPriority w:val="0"/>
    <w:rPr>
      <w:rFonts w:eastAsia="宋体"/>
      <w:kern w:val="2"/>
      <w:sz w:val="21"/>
      <w:szCs w:val="24"/>
      <w:lang w:val="en-US" w:eastAsia="zh-CN" w:bidi="ar-SA"/>
    </w:rPr>
  </w:style>
  <w:style w:type="character" w:customStyle="1" w:styleId="53">
    <w:name w:val="正文缩进 Char"/>
    <w:link w:val="6"/>
    <w:autoRedefine/>
    <w:qFormat/>
    <w:uiPriority w:val="0"/>
    <w:rPr>
      <w:rFonts w:eastAsia="宋体"/>
      <w:sz w:val="21"/>
      <w:lang w:val="en-US" w:eastAsia="zh-CN" w:bidi="ar-SA"/>
    </w:rPr>
  </w:style>
  <w:style w:type="character" w:customStyle="1" w:styleId="54">
    <w:name w:val="页眉 Char"/>
    <w:link w:val="28"/>
    <w:autoRedefine/>
    <w:qFormat/>
    <w:uiPriority w:val="0"/>
    <w:rPr>
      <w:rFonts w:eastAsia="宋体"/>
      <w:kern w:val="2"/>
      <w:sz w:val="18"/>
      <w:szCs w:val="18"/>
      <w:lang w:val="en-US" w:eastAsia="zh-CN" w:bidi="ar-SA"/>
    </w:rPr>
  </w:style>
  <w:style w:type="character" w:customStyle="1" w:styleId="55">
    <w:name w:val="正文文本 3 Char"/>
    <w:link w:val="15"/>
    <w:autoRedefine/>
    <w:qFormat/>
    <w:uiPriority w:val="0"/>
    <w:rPr>
      <w:rFonts w:eastAsia="宋体"/>
      <w:sz w:val="16"/>
      <w:szCs w:val="16"/>
      <w:lang w:val="en-US" w:eastAsia="zh-CN" w:bidi="ar-SA"/>
    </w:rPr>
  </w:style>
  <w:style w:type="character" w:customStyle="1" w:styleId="56">
    <w:name w:val="批注文字 Char"/>
    <w:link w:val="14"/>
    <w:autoRedefine/>
    <w:qFormat/>
    <w:uiPriority w:val="0"/>
    <w:rPr>
      <w:rFonts w:eastAsia="宋体"/>
      <w:kern w:val="2"/>
      <w:sz w:val="21"/>
      <w:szCs w:val="24"/>
      <w:lang w:val="en-US" w:eastAsia="zh-CN" w:bidi="ar-SA"/>
    </w:rPr>
  </w:style>
  <w:style w:type="character" w:customStyle="1" w:styleId="57">
    <w:name w:val="文档结构图 Char"/>
    <w:link w:val="13"/>
    <w:autoRedefine/>
    <w:semiHidden/>
    <w:qFormat/>
    <w:uiPriority w:val="0"/>
    <w:rPr>
      <w:rFonts w:eastAsia="宋体"/>
      <w:kern w:val="2"/>
      <w:sz w:val="21"/>
      <w:szCs w:val="24"/>
      <w:lang w:val="en-US" w:eastAsia="zh-CN" w:bidi="ar-SA"/>
    </w:rPr>
  </w:style>
  <w:style w:type="character" w:customStyle="1" w:styleId="58">
    <w:name w:val="标题 6 Char"/>
    <w:link w:val="8"/>
    <w:autoRedefine/>
    <w:qFormat/>
    <w:uiPriority w:val="0"/>
    <w:rPr>
      <w:rFonts w:hAnsi="Arial"/>
      <w:i/>
      <w:sz w:val="22"/>
    </w:rPr>
  </w:style>
  <w:style w:type="character" w:customStyle="1" w:styleId="59">
    <w:name w:val="标题 9 Char"/>
    <w:link w:val="11"/>
    <w:autoRedefine/>
    <w:qFormat/>
    <w:uiPriority w:val="0"/>
    <w:rPr>
      <w:rFonts w:ascii="Arial" w:hAnsi="Arial"/>
      <w:b/>
      <w:i/>
      <w:sz w:val="18"/>
    </w:rPr>
  </w:style>
  <w:style w:type="character" w:customStyle="1" w:styleId="60">
    <w:name w:val="正文文本 Char"/>
    <w:link w:val="17"/>
    <w:autoRedefine/>
    <w:qFormat/>
    <w:uiPriority w:val="0"/>
    <w:rPr>
      <w:rFonts w:eastAsia="宋体"/>
      <w:kern w:val="2"/>
      <w:sz w:val="18"/>
      <w:lang w:val="en-US" w:eastAsia="zh-CN" w:bidi="ar-SA"/>
    </w:rPr>
  </w:style>
  <w:style w:type="character" w:customStyle="1" w:styleId="61">
    <w:name w:val="unnamed1"/>
    <w:basedOn w:val="38"/>
    <w:autoRedefine/>
    <w:qFormat/>
    <w:uiPriority w:val="0"/>
  </w:style>
  <w:style w:type="character" w:customStyle="1" w:styleId="62">
    <w:name w:val="特点标题 Char"/>
    <w:autoRedefine/>
    <w:qFormat/>
    <w:uiPriority w:val="0"/>
    <w:rPr>
      <w:rFonts w:eastAsia="宋体"/>
      <w:kern w:val="2"/>
      <w:sz w:val="28"/>
      <w:szCs w:val="24"/>
      <w:lang w:val="en-US" w:eastAsia="zh-CN" w:bidi="ar-SA"/>
    </w:rPr>
  </w:style>
  <w:style w:type="character" w:customStyle="1" w:styleId="63">
    <w:name w:val="正文文本缩进 Char"/>
    <w:link w:val="18"/>
    <w:autoRedefine/>
    <w:semiHidden/>
    <w:qFormat/>
    <w:uiPriority w:val="0"/>
    <w:rPr>
      <w:rFonts w:ascii="宋体" w:hAnsi="宋体" w:eastAsia="宋体"/>
      <w:kern w:val="2"/>
      <w:sz w:val="28"/>
      <w:lang w:val="en-US" w:eastAsia="zh-CN" w:bidi="ar-SA"/>
    </w:rPr>
  </w:style>
  <w:style w:type="character" w:customStyle="1" w:styleId="64">
    <w:name w:val="页脚 Char"/>
    <w:link w:val="27"/>
    <w:autoRedefine/>
    <w:qFormat/>
    <w:uiPriority w:val="99"/>
    <w:rPr>
      <w:rFonts w:eastAsia="宋体"/>
      <w:kern w:val="2"/>
      <w:sz w:val="18"/>
      <w:szCs w:val="18"/>
      <w:lang w:val="en-US" w:eastAsia="zh-CN" w:bidi="ar-SA"/>
    </w:rPr>
  </w:style>
  <w:style w:type="character" w:customStyle="1" w:styleId="65">
    <w:name w:val="页脚2 Char"/>
    <w:link w:val="66"/>
    <w:autoRedefine/>
    <w:qFormat/>
    <w:uiPriority w:val="0"/>
    <w:rPr>
      <w:rFonts w:ascii="宋体" w:hAnsi="宋体" w:eastAsia="宋体"/>
      <w:sz w:val="18"/>
      <w:szCs w:val="18"/>
      <w:lang w:val="en-US" w:eastAsia="zh-CN" w:bidi="ar-SA"/>
    </w:rPr>
  </w:style>
  <w:style w:type="paragraph" w:customStyle="1" w:styleId="66">
    <w:name w:val="页脚2"/>
    <w:basedOn w:val="1"/>
    <w:link w:val="65"/>
    <w:autoRedefine/>
    <w:qFormat/>
    <w:uiPriority w:val="0"/>
    <w:pPr>
      <w:widowControl/>
      <w:pBdr>
        <w:top w:val="single" w:color="auto" w:sz="6" w:space="0"/>
      </w:pBdr>
      <w:jc w:val="right"/>
      <w:textAlignment w:val="center"/>
    </w:pPr>
    <w:rPr>
      <w:rFonts w:ascii="宋体" w:hAnsi="宋体"/>
      <w:kern w:val="0"/>
      <w:sz w:val="18"/>
      <w:szCs w:val="18"/>
    </w:rPr>
  </w:style>
  <w:style w:type="character" w:customStyle="1" w:styleId="67">
    <w:name w:val="标题 3 Char"/>
    <w:link w:val="4"/>
    <w:autoRedefine/>
    <w:qFormat/>
    <w:uiPriority w:val="0"/>
    <w:rPr>
      <w:rFonts w:ascii="宋体" w:hAnsi="宋体" w:eastAsia="宋体"/>
      <w:b/>
      <w:bCs/>
      <w:kern w:val="2"/>
      <w:sz w:val="30"/>
      <w:szCs w:val="24"/>
      <w:lang w:val="en-US" w:eastAsia="zh-CN" w:bidi="ar-SA"/>
    </w:rPr>
  </w:style>
  <w:style w:type="character" w:customStyle="1" w:styleId="68">
    <w:name w:val="标题 1 Char"/>
    <w:link w:val="2"/>
    <w:autoRedefine/>
    <w:qFormat/>
    <w:uiPriority w:val="0"/>
    <w:rPr>
      <w:rFonts w:eastAsia="宋体"/>
      <w:b/>
      <w:bCs/>
      <w:kern w:val="44"/>
      <w:sz w:val="44"/>
      <w:szCs w:val="44"/>
      <w:lang w:val="en-US" w:eastAsia="zh-CN" w:bidi="ar-SA"/>
    </w:rPr>
  </w:style>
  <w:style w:type="character" w:customStyle="1" w:styleId="69">
    <w:name w:val="纯文本 Char"/>
    <w:link w:val="22"/>
    <w:autoRedefine/>
    <w:qFormat/>
    <w:uiPriority w:val="0"/>
    <w:rPr>
      <w:rFonts w:ascii="宋体" w:hAnsi="Courier New" w:eastAsia="宋体"/>
      <w:kern w:val="2"/>
      <w:sz w:val="24"/>
      <w:lang w:val="en-US" w:eastAsia="zh-CN" w:bidi="ar-SA"/>
    </w:rPr>
  </w:style>
  <w:style w:type="character" w:customStyle="1" w:styleId="70">
    <w:name w:val="标题 8 Char"/>
    <w:link w:val="10"/>
    <w:autoRedefine/>
    <w:qFormat/>
    <w:uiPriority w:val="0"/>
    <w:rPr>
      <w:rFonts w:ascii="Arial" w:hAnsi="Arial"/>
      <w:i/>
    </w:rPr>
  </w:style>
  <w:style w:type="character" w:customStyle="1" w:styleId="71">
    <w:name w:val="标题 5 Char"/>
    <w:link w:val="7"/>
    <w:autoRedefine/>
    <w:qFormat/>
    <w:uiPriority w:val="0"/>
    <w:rPr>
      <w:rFonts w:ascii="Arial" w:hAnsi="Arial"/>
      <w:sz w:val="22"/>
    </w:rPr>
  </w:style>
  <w:style w:type="character" w:customStyle="1" w:styleId="72">
    <w:name w:val="标题 4 Char"/>
    <w:link w:val="5"/>
    <w:autoRedefine/>
    <w:qFormat/>
    <w:uiPriority w:val="0"/>
    <w:rPr>
      <w:rFonts w:ascii="宋体" w:hAnsi="Arial" w:eastAsia="宋体" w:cs="宋体"/>
      <w:color w:val="000000"/>
      <w:sz w:val="21"/>
      <w:lang w:val="en-US" w:eastAsia="zh-CN" w:bidi="ar-SA"/>
    </w:rPr>
  </w:style>
  <w:style w:type="character" w:customStyle="1" w:styleId="73">
    <w:name w:val="p141"/>
    <w:autoRedefine/>
    <w:qFormat/>
    <w:uiPriority w:val="0"/>
    <w:rPr>
      <w:sz w:val="21"/>
      <w:szCs w:val="21"/>
    </w:rPr>
  </w:style>
  <w:style w:type="character" w:customStyle="1" w:styleId="74">
    <w:name w:val="日期 Char"/>
    <w:link w:val="24"/>
    <w:autoRedefine/>
    <w:qFormat/>
    <w:uiPriority w:val="0"/>
    <w:rPr>
      <w:rFonts w:eastAsia="宋体"/>
      <w:sz w:val="32"/>
      <w:lang w:val="en-US" w:eastAsia="zh-CN" w:bidi="ar-SA"/>
    </w:rPr>
  </w:style>
  <w:style w:type="character" w:customStyle="1" w:styleId="75">
    <w:name w:val="Char Char17"/>
    <w:autoRedefine/>
    <w:qFormat/>
    <w:uiPriority w:val="0"/>
    <w:rPr>
      <w:rFonts w:ascii="宋体" w:hAnsi="宋体" w:eastAsia="宋体"/>
      <w:b/>
      <w:bCs/>
      <w:kern w:val="2"/>
      <w:sz w:val="30"/>
      <w:szCs w:val="24"/>
      <w:lang w:val="en-US" w:eastAsia="zh-CN" w:bidi="ar-SA"/>
    </w:rPr>
  </w:style>
  <w:style w:type="paragraph" w:customStyle="1" w:styleId="7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77">
    <w:name w:val="正文（仿三）"/>
    <w:basedOn w:val="1"/>
    <w:autoRedefine/>
    <w:qFormat/>
    <w:uiPriority w:val="0"/>
    <w:pPr>
      <w:adjustRightInd w:val="0"/>
      <w:snapToGrid w:val="0"/>
      <w:spacing w:line="360" w:lineRule="auto"/>
      <w:ind w:firstLine="640" w:firstLineChars="200"/>
    </w:pPr>
    <w:rPr>
      <w:rFonts w:eastAsia="仿宋_GB2312"/>
      <w:sz w:val="32"/>
      <w:szCs w:val="20"/>
    </w:rPr>
  </w:style>
  <w:style w:type="paragraph" w:customStyle="1" w:styleId="7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0">
    <w:name w:val="表"/>
    <w:basedOn w:val="1"/>
    <w:autoRedefine/>
    <w:qFormat/>
    <w:uiPriority w:val="0"/>
    <w:pPr>
      <w:spacing w:line="460" w:lineRule="exact"/>
    </w:pPr>
    <w:rPr>
      <w:rFonts w:ascii="宋体" w:hAnsi="宋体"/>
      <w:b/>
      <w:bCs/>
      <w:szCs w:val="20"/>
    </w:rPr>
  </w:style>
  <w:style w:type="paragraph" w:customStyle="1" w:styleId="8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2">
    <w:name w:val="font6"/>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83">
    <w:name w:val="列表段落"/>
    <w:basedOn w:val="1"/>
    <w:autoRedefine/>
    <w:qFormat/>
    <w:uiPriority w:val="0"/>
    <w:pPr>
      <w:ind w:firstLine="420" w:firstLineChars="200"/>
    </w:pPr>
    <w:rPr>
      <w:rFonts w:ascii="Calibri" w:hAnsi="Calibri"/>
      <w:szCs w:val="22"/>
    </w:rPr>
  </w:style>
  <w:style w:type="paragraph" w:customStyle="1" w:styleId="8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Char Char2 Char"/>
    <w:basedOn w:val="1"/>
    <w:autoRedefine/>
    <w:qFormat/>
    <w:uiPriority w:val="0"/>
    <w:rPr>
      <w:rFonts w:ascii="宋体" w:hAnsi="宋体"/>
      <w:b/>
      <w:sz w:val="28"/>
      <w:szCs w:val="28"/>
    </w:rPr>
  </w:style>
  <w:style w:type="paragraph" w:customStyle="1" w:styleId="86">
    <w:name w:val="样式 小四 段前: 5 磅 段后: 5 磅 首行缩进:  2 字符"/>
    <w:basedOn w:val="1"/>
    <w:autoRedefine/>
    <w:qFormat/>
    <w:uiPriority w:val="0"/>
    <w:pPr>
      <w:spacing w:line="200" w:lineRule="exact"/>
    </w:pPr>
    <w:rPr>
      <w:rFonts w:ascii="宋体" w:hAnsi="宋体"/>
      <w:snapToGrid w:val="0"/>
      <w:spacing w:val="-6"/>
      <w:kern w:val="0"/>
      <w:szCs w:val="21"/>
    </w:rPr>
  </w:style>
  <w:style w:type="paragraph" w:customStyle="1" w:styleId="8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88">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9">
    <w:name w:val="D标3"/>
    <w:basedOn w:val="4"/>
    <w:autoRedefine/>
    <w:qFormat/>
    <w:uiPriority w:val="0"/>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90">
    <w:name w:val="Char Char Char"/>
    <w:basedOn w:val="13"/>
    <w:autoRedefine/>
    <w:qFormat/>
    <w:uiPriority w:val="0"/>
    <w:pPr>
      <w:spacing w:line="436" w:lineRule="exact"/>
    </w:pPr>
    <w:rPr>
      <w:rFonts w:ascii="Tahoma" w:hAnsi="Tahoma"/>
      <w:b/>
      <w:sz w:val="24"/>
    </w:rPr>
  </w:style>
  <w:style w:type="paragraph" w:customStyle="1" w:styleId="91">
    <w:name w:val="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9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94">
    <w:name w:val="font7"/>
    <w:basedOn w:val="1"/>
    <w:autoRedefine/>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95">
    <w:name w:val="D标1"/>
    <w:basedOn w:val="2"/>
    <w:next w:val="1"/>
    <w:autoRedefine/>
    <w:qFormat/>
    <w:uiPriority w:val="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96">
    <w:name w:val="Char1 Char Char Char"/>
    <w:basedOn w:val="1"/>
    <w:autoRedefine/>
    <w:qFormat/>
    <w:uiPriority w:val="0"/>
    <w:rPr>
      <w:rFonts w:ascii="Tahoma" w:hAnsi="Tahoma"/>
      <w:sz w:val="24"/>
      <w:szCs w:val="20"/>
    </w:rPr>
  </w:style>
  <w:style w:type="paragraph" w:customStyle="1" w:styleId="97">
    <w:name w:val="Char Char Char1"/>
    <w:basedOn w:val="1"/>
    <w:autoRedefine/>
    <w:qFormat/>
    <w:uiPriority w:val="0"/>
    <w:rPr>
      <w:rFonts w:ascii="Tahoma" w:hAnsi="Tahoma"/>
      <w:sz w:val="24"/>
      <w:szCs w:val="20"/>
    </w:rPr>
  </w:style>
  <w:style w:type="paragraph" w:customStyle="1" w:styleId="98">
    <w:name w:val="D文1"/>
    <w:basedOn w:val="1"/>
    <w:autoRedefine/>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100">
    <w:name w:val="正文（首行缩进）"/>
    <w:basedOn w:val="1"/>
    <w:autoRedefine/>
    <w:qFormat/>
    <w:uiPriority w:val="0"/>
    <w:pPr>
      <w:adjustRightInd w:val="0"/>
      <w:snapToGrid w:val="0"/>
      <w:spacing w:line="300" w:lineRule="auto"/>
      <w:ind w:firstLine="200" w:firstLineChars="200"/>
    </w:pPr>
    <w:rPr>
      <w:sz w:val="28"/>
      <w:szCs w:val="20"/>
    </w:rPr>
  </w:style>
  <w:style w:type="paragraph" w:customStyle="1" w:styleId="101">
    <w:name w:val="Char Char Char Char"/>
    <w:basedOn w:val="1"/>
    <w:autoRedefine/>
    <w:qFormat/>
    <w:uiPriority w:val="0"/>
    <w:rPr>
      <w:b/>
      <w:bCs/>
      <w:sz w:val="36"/>
      <w:szCs w:val="32"/>
    </w:rPr>
  </w:style>
  <w:style w:type="paragraph" w:customStyle="1" w:styleId="102">
    <w:name w:val="Char Char Char Char Char1 Char"/>
    <w:basedOn w:val="1"/>
    <w:autoRedefine/>
    <w:qFormat/>
    <w:uiPriority w:val="0"/>
    <w:rPr>
      <w:rFonts w:ascii="Tahoma" w:hAnsi="Tahoma"/>
      <w:sz w:val="24"/>
      <w:szCs w:val="20"/>
    </w:rPr>
  </w:style>
  <w:style w:type="paragraph" w:customStyle="1" w:styleId="103">
    <w:name w:val="D标4"/>
    <w:basedOn w:val="1"/>
    <w:next w:val="98"/>
    <w:autoRedefine/>
    <w:qFormat/>
    <w:uiPriority w:val="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10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05">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108">
    <w:name w:val="D标2"/>
    <w:basedOn w:val="3"/>
    <w:autoRedefine/>
    <w:qFormat/>
    <w:uiPriority w:val="0"/>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09">
    <w:name w:val="正文1"/>
    <w:basedOn w:val="1"/>
    <w:autoRedefine/>
    <w:qFormat/>
    <w:uiPriority w:val="0"/>
    <w:pPr>
      <w:tabs>
        <w:tab w:val="left" w:pos="2220"/>
      </w:tabs>
      <w:spacing w:line="360" w:lineRule="auto"/>
      <w:ind w:left="2220" w:hanging="420"/>
    </w:pPr>
    <w:rPr>
      <w:rFonts w:ascii="宋体" w:hAnsi="宋体"/>
    </w:rPr>
  </w:style>
  <w:style w:type="paragraph" w:customStyle="1" w:styleId="110">
    <w:name w:val="Char Char Char1 Char"/>
    <w:basedOn w:val="1"/>
    <w:autoRedefine/>
    <w:qFormat/>
    <w:uiPriority w:val="0"/>
    <w:pPr>
      <w:tabs>
        <w:tab w:val="left" w:pos="425"/>
      </w:tabs>
      <w:ind w:left="425" w:hanging="425"/>
    </w:pPr>
    <w:rPr>
      <w:rFonts w:eastAsia="仿宋_GB2312"/>
      <w:kern w:val="24"/>
      <w:sz w:val="24"/>
    </w:rPr>
  </w:style>
  <w:style w:type="paragraph" w:customStyle="1" w:styleId="111">
    <w:name w:val="P标3"/>
    <w:basedOn w:val="4"/>
    <w:autoRedefine/>
    <w:qFormat/>
    <w:uiPriority w:val="0"/>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11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Char Char Char Char Char Char Char Char Char Char"/>
    <w:basedOn w:val="1"/>
    <w:autoRedefine/>
    <w:qFormat/>
    <w:uiPriority w:val="0"/>
    <w:pPr>
      <w:widowControl/>
      <w:snapToGrid w:val="0"/>
      <w:spacing w:before="120" w:after="160" w:line="360" w:lineRule="auto"/>
      <w:ind w:right="-360"/>
      <w:jc w:val="left"/>
    </w:pPr>
    <w:rPr>
      <w:sz w:val="24"/>
      <w:szCs w:val="20"/>
    </w:rPr>
  </w:style>
  <w:style w:type="paragraph" w:customStyle="1" w:styleId="1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16">
    <w:name w:val="_Style 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17">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8">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19">
    <w:name w:val="No Spacing"/>
    <w:autoRedefine/>
    <w:qFormat/>
    <w:uiPriority w:val="1"/>
    <w:rPr>
      <w:rFonts w:ascii="Calibri" w:hAnsi="Calibri" w:eastAsia="宋体" w:cs="Times New Roman"/>
      <w:sz w:val="22"/>
      <w:szCs w:val="22"/>
      <w:lang w:val="en-US" w:eastAsia="zh-CN" w:bidi="ar-SA"/>
    </w:rPr>
  </w:style>
  <w:style w:type="paragraph" w:customStyle="1" w:styleId="120">
    <w:name w:val="p0"/>
    <w:basedOn w:val="1"/>
    <w:autoRedefine/>
    <w:qFormat/>
    <w:uiPriority w:val="0"/>
    <w:pPr>
      <w:widowControl/>
    </w:pPr>
    <w:rPr>
      <w:kern w:val="0"/>
      <w:szCs w:val="21"/>
    </w:rPr>
  </w:style>
  <w:style w:type="character" w:customStyle="1" w:styleId="121">
    <w:name w:val="Body text|2_"/>
    <w:link w:val="122"/>
    <w:autoRedefine/>
    <w:qFormat/>
    <w:uiPriority w:val="0"/>
    <w:rPr>
      <w:rFonts w:ascii="宋体" w:hAnsi="宋体" w:cs="宋体"/>
      <w:sz w:val="26"/>
      <w:szCs w:val="26"/>
      <w:lang w:val="zh-TW" w:eastAsia="zh-TW" w:bidi="zh-TW"/>
    </w:rPr>
  </w:style>
  <w:style w:type="paragraph" w:customStyle="1" w:styleId="122">
    <w:name w:val="Body text|2"/>
    <w:basedOn w:val="1"/>
    <w:link w:val="121"/>
    <w:autoRedefine/>
    <w:qFormat/>
    <w:uiPriority w:val="0"/>
    <w:pPr>
      <w:spacing w:line="502" w:lineRule="exact"/>
      <w:ind w:firstLine="560"/>
      <w:jc w:val="left"/>
    </w:pPr>
    <w:rPr>
      <w:rFonts w:ascii="宋体" w:hAnsi="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4768A-95A8-46A6-82A2-F203D1F4275F}">
  <ds:schemaRefs/>
</ds:datastoreItem>
</file>

<file path=docProps/app.xml><?xml version="1.0" encoding="utf-8"?>
<Properties xmlns="http://schemas.openxmlformats.org/officeDocument/2006/extended-properties" xmlns:vt="http://schemas.openxmlformats.org/officeDocument/2006/docPropsVTypes">
  <Template>Normal</Template>
  <Company>GTT</Company>
  <Pages>31</Pages>
  <Words>2567</Words>
  <Characters>14634</Characters>
  <Lines>121</Lines>
  <Paragraphs>34</Paragraphs>
  <TotalTime>4</TotalTime>
  <ScaleCrop>false</ScaleCrop>
  <LinksUpToDate>false</LinksUpToDate>
  <CharactersWithSpaces>17167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2020-03-25T08:46:00Z</dcterms:created>
  <dc:creator>Windows User</dc:creator>
  <cp:lastModifiedBy>Cherry</cp:lastModifiedBy>
  <cp:lastPrinted>2019-03-14T03:10:00Z</cp:lastPrinted>
  <dcterms:modified xsi:type="dcterms:W3CDTF">2024-02-27T02:23:23Z</dcterms:modified>
  <dc:title>广州市政府采购</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7E6B700DC02A4F07828C10FD788D5056</vt:lpwstr>
  </property>
</Properties>
</file>