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auto"/>
          <w:sz w:val="72"/>
          <w:szCs w:val="72"/>
          <w:lang w:eastAsia="zh-CN"/>
        </w:rPr>
      </w:pPr>
      <w:bookmarkStart w:id="0" w:name="_Toc22751"/>
      <w:bookmarkStart w:id="1" w:name="_Toc7635"/>
      <w:bookmarkStart w:id="2" w:name="_Toc12562_WPSOffice_Level1"/>
    </w:p>
    <w:p>
      <w:pPr>
        <w:jc w:val="center"/>
        <w:rPr>
          <w:rFonts w:hint="eastAsia" w:ascii="黑体" w:hAnsi="黑体" w:eastAsia="黑体" w:cs="黑体"/>
          <w:b/>
          <w:bCs/>
          <w:color w:val="auto"/>
          <w:sz w:val="72"/>
          <w:szCs w:val="72"/>
          <w:lang w:eastAsia="zh-CN"/>
        </w:rPr>
      </w:pPr>
    </w:p>
    <w:p>
      <w:pPr>
        <w:jc w:val="center"/>
        <w:rPr>
          <w:rFonts w:hint="eastAsia" w:ascii="黑体" w:hAnsi="黑体" w:eastAsia="黑体" w:cs="黑体"/>
          <w:b/>
          <w:bCs/>
          <w:color w:val="auto"/>
          <w:sz w:val="72"/>
          <w:szCs w:val="72"/>
          <w:lang w:eastAsia="zh-CN"/>
        </w:rPr>
      </w:pPr>
    </w:p>
    <w:p>
      <w:pPr>
        <w:jc w:val="center"/>
        <w:rPr>
          <w:rFonts w:hint="eastAsia" w:ascii="黑体" w:hAnsi="黑体" w:eastAsia="黑体" w:cs="黑体"/>
          <w:b/>
          <w:bCs/>
          <w:color w:val="auto"/>
          <w:sz w:val="72"/>
          <w:szCs w:val="72"/>
          <w:lang w:eastAsia="zh-CN"/>
        </w:rPr>
      </w:pPr>
      <w:r>
        <w:rPr>
          <w:rFonts w:hint="eastAsia" w:ascii="黑体" w:hAnsi="黑体" w:eastAsia="黑体" w:cs="黑体"/>
          <w:b/>
          <w:bCs/>
          <w:color w:val="auto"/>
          <w:sz w:val="72"/>
          <w:szCs w:val="72"/>
          <w:lang w:eastAsia="zh-CN"/>
        </w:rPr>
        <w:t>广检集团</w:t>
      </w:r>
    </w:p>
    <w:p>
      <w:pPr>
        <w:jc w:val="center"/>
        <w:rPr>
          <w:rFonts w:hint="eastAsia" w:ascii="黑体" w:hAnsi="黑体" w:eastAsia="黑体" w:cs="黑体"/>
          <w:b/>
          <w:bCs/>
          <w:color w:val="auto"/>
          <w:sz w:val="72"/>
          <w:szCs w:val="72"/>
          <w:lang w:eastAsia="zh-CN"/>
        </w:rPr>
      </w:pPr>
      <w:r>
        <w:rPr>
          <w:rFonts w:hint="eastAsia" w:ascii="黑体" w:hAnsi="黑体" w:eastAsia="黑体" w:cs="黑体"/>
          <w:b/>
          <w:bCs/>
          <w:color w:val="auto"/>
          <w:sz w:val="72"/>
          <w:szCs w:val="72"/>
          <w:lang w:eastAsia="zh-CN"/>
        </w:rPr>
        <w:t>竞选采购文件</w:t>
      </w:r>
    </w:p>
    <w:p>
      <w:pPr>
        <w:jc w:val="center"/>
        <w:rPr>
          <w:rFonts w:hint="eastAsia" w:ascii="黑体" w:hAnsi="黑体" w:eastAsia="黑体" w:cs="黑体"/>
          <w:b/>
          <w:bCs/>
          <w:color w:val="auto"/>
          <w:sz w:val="72"/>
          <w:szCs w:val="72"/>
          <w:lang w:eastAsia="zh-CN"/>
        </w:rPr>
      </w:pPr>
    </w:p>
    <w:p>
      <w:pPr>
        <w:jc w:val="center"/>
        <w:rPr>
          <w:rFonts w:hint="eastAsia" w:ascii="黑体" w:hAnsi="黑体" w:eastAsia="黑体" w:cs="黑体"/>
          <w:b/>
          <w:bCs/>
          <w:color w:val="auto"/>
          <w:sz w:val="72"/>
          <w:szCs w:val="72"/>
          <w:lang w:eastAsia="zh-CN"/>
        </w:rPr>
      </w:pPr>
    </w:p>
    <w:p>
      <w:pPr>
        <w:spacing w:line="360" w:lineRule="auto"/>
        <w:jc w:val="center"/>
        <w:rPr>
          <w:rFonts w:hint="eastAsia" w:ascii="宋体" w:hAnsi="宋体" w:cs="宋体"/>
          <w:b/>
          <w:bCs/>
          <w:color w:val="auto"/>
          <w:sz w:val="32"/>
          <w:szCs w:val="32"/>
          <w:lang w:eastAsia="zh-CN"/>
        </w:rPr>
      </w:pPr>
      <w:r>
        <w:rPr>
          <w:rFonts w:hint="eastAsia" w:ascii="宋体" w:hAnsi="宋体" w:eastAsia="宋体" w:cs="宋体"/>
          <w:b/>
          <w:bCs/>
          <w:color w:val="auto"/>
          <w:sz w:val="32"/>
          <w:szCs w:val="32"/>
          <w:lang w:eastAsia="zh-CN"/>
        </w:rPr>
        <w:t>项目名称：</w:t>
      </w:r>
      <w:r>
        <w:rPr>
          <w:rFonts w:hint="eastAsia" w:ascii="宋体" w:hAnsi="宋体" w:cs="宋体"/>
          <w:b/>
          <w:bCs/>
          <w:color w:val="auto"/>
          <w:sz w:val="32"/>
          <w:szCs w:val="32"/>
          <w:lang w:eastAsia="zh-CN"/>
        </w:rPr>
        <w:t>广检集团广科院数据库服务器系统初期搭建项目</w:t>
      </w:r>
    </w:p>
    <w:p>
      <w:pPr>
        <w:spacing w:line="360" w:lineRule="auto"/>
        <w:jc w:val="both"/>
        <w:rPr>
          <w:rFonts w:asciiTheme="minorEastAsia" w:hAnsiTheme="minorEastAsia" w:eastAsiaTheme="minorEastAsia" w:cstheme="minorEastAsia"/>
          <w:b/>
          <w:color w:val="auto"/>
          <w:szCs w:val="21"/>
        </w:rPr>
      </w:pP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项目编号：穗广科竞〔2019〕4号</w:t>
      </w:r>
    </w:p>
    <w:p>
      <w:pPr>
        <w:jc w:val="both"/>
        <w:rPr>
          <w:rFonts w:hint="eastAsia" w:ascii="宋体" w:hAnsi="宋体" w:eastAsia="宋体" w:cs="宋体"/>
          <w:b/>
          <w:bCs/>
          <w:color w:val="auto"/>
          <w:sz w:val="32"/>
          <w:szCs w:val="32"/>
          <w:lang w:val="en-US" w:eastAsia="zh-CN"/>
        </w:rPr>
      </w:pPr>
    </w:p>
    <w:p>
      <w:pPr>
        <w:jc w:val="both"/>
        <w:rPr>
          <w:rFonts w:hint="eastAsia" w:ascii="宋体" w:hAnsi="宋体" w:eastAsia="宋体" w:cs="宋体"/>
          <w:b/>
          <w:bCs/>
          <w:color w:val="auto"/>
          <w:sz w:val="32"/>
          <w:szCs w:val="32"/>
          <w:lang w:val="en-US" w:eastAsia="zh-CN"/>
        </w:rPr>
      </w:pPr>
    </w:p>
    <w:p>
      <w:pPr>
        <w:jc w:val="both"/>
        <w:rPr>
          <w:rFonts w:hint="eastAsia" w:ascii="宋体" w:hAnsi="宋体" w:eastAsia="宋体" w:cs="宋体"/>
          <w:b/>
          <w:bCs/>
          <w:color w:val="auto"/>
          <w:sz w:val="32"/>
          <w:szCs w:val="32"/>
          <w:lang w:val="en-US" w:eastAsia="zh-CN"/>
        </w:rPr>
      </w:pPr>
    </w:p>
    <w:p>
      <w:pPr>
        <w:pStyle w:val="2"/>
        <w:rPr>
          <w:rFonts w:hint="eastAsia"/>
          <w:lang w:val="en-US" w:eastAsia="zh-CN"/>
        </w:rPr>
      </w:pPr>
    </w:p>
    <w:p>
      <w:pPr>
        <w:jc w:val="both"/>
        <w:rPr>
          <w:rFonts w:hint="eastAsia" w:ascii="宋体" w:hAnsi="宋体" w:eastAsia="宋体" w:cs="宋体"/>
          <w:b/>
          <w:bCs/>
          <w:color w:val="auto"/>
          <w:sz w:val="32"/>
          <w:szCs w:val="32"/>
          <w:lang w:val="en-US" w:eastAsia="zh-CN"/>
        </w:rPr>
      </w:pPr>
    </w:p>
    <w:p>
      <w:pPr>
        <w:jc w:val="center"/>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广州检验检测认证集团有限公司</w:t>
      </w:r>
    </w:p>
    <w:p>
      <w:pPr>
        <w:jc w:val="center"/>
        <w:rPr>
          <w:rFonts w:hint="eastAsia" w:ascii="黑体" w:hAnsi="黑体" w:eastAsia="黑体" w:cs="黑体"/>
          <w:color w:val="auto"/>
          <w:sz w:val="28"/>
          <w:szCs w:val="36"/>
          <w:lang w:eastAsia="zh-CN"/>
        </w:rPr>
      </w:pPr>
      <w:r>
        <w:rPr>
          <w:rFonts w:hint="eastAsia" w:ascii="黑体" w:hAnsi="黑体" w:eastAsia="黑体" w:cs="黑体"/>
          <w:b w:val="0"/>
          <w:bCs w:val="0"/>
          <w:color w:val="auto"/>
          <w:sz w:val="30"/>
          <w:szCs w:val="30"/>
          <w:lang w:val="en-US" w:eastAsia="zh-CN"/>
        </w:rPr>
        <w:t>2019年10月</w:t>
      </w:r>
      <w:r>
        <w:rPr>
          <w:rFonts w:hint="eastAsia" w:asciiTheme="minorEastAsia" w:hAnsiTheme="minorEastAsia" w:eastAsiaTheme="minorEastAsia" w:cstheme="minorEastAsia"/>
          <w:b/>
          <w:bCs/>
          <w:color w:val="auto"/>
          <w:sz w:val="28"/>
          <w:szCs w:val="28"/>
        </w:rPr>
        <w:br w:type="page"/>
      </w:r>
      <w:r>
        <w:rPr>
          <w:rFonts w:hint="eastAsia" w:ascii="黑体" w:hAnsi="黑体" w:eastAsia="黑体" w:cs="黑体"/>
          <w:b/>
          <w:bCs/>
          <w:color w:val="auto"/>
          <w:sz w:val="28"/>
          <w:szCs w:val="36"/>
          <w:lang w:eastAsia="zh-CN"/>
        </w:rPr>
        <w:t>目录</w:t>
      </w:r>
    </w:p>
    <w:p>
      <w:pPr>
        <w:jc w:val="center"/>
        <w:rPr>
          <w:rFonts w:hint="eastAsia" w:ascii="黑体" w:hAnsi="黑体" w:eastAsia="黑体" w:cs="黑体"/>
          <w:color w:val="auto"/>
          <w:sz w:val="21"/>
          <w:szCs w:val="24"/>
          <w:lang w:eastAsia="zh-CN"/>
        </w:rPr>
      </w:pPr>
    </w:p>
    <w:p>
      <w:pPr>
        <w:pStyle w:val="10"/>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
          <w:bCs/>
          <w:color w:val="auto"/>
          <w:sz w:val="24"/>
          <w:szCs w:val="24"/>
        </w:rPr>
        <w:fldChar w:fldCharType="begin"/>
      </w:r>
      <w:r>
        <w:rPr>
          <w:rFonts w:hint="eastAsia" w:ascii="黑体" w:hAnsi="黑体" w:eastAsia="黑体" w:cs="黑体"/>
          <w:b/>
          <w:bCs/>
          <w:color w:val="auto"/>
          <w:sz w:val="24"/>
          <w:szCs w:val="24"/>
        </w:rPr>
        <w:instrText xml:space="preserve">TOC \o "1-3" \h \u </w:instrText>
      </w:r>
      <w:r>
        <w:rPr>
          <w:rFonts w:hint="eastAsia" w:ascii="黑体" w:hAnsi="黑体" w:eastAsia="黑体" w:cs="黑体"/>
          <w:b/>
          <w:bCs/>
          <w:color w:val="auto"/>
          <w:sz w:val="24"/>
          <w:szCs w:val="24"/>
        </w:rPr>
        <w:fldChar w:fldCharType="separate"/>
      </w: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_Toc32568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一章 竞选邀请函</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_Toc32568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4</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8"/>
          <w:lang w:val="en-US" w:eastAsia="zh-CN" w:bidi="ar-SA"/>
        </w:rPr>
        <w:fldChar w:fldCharType="end"/>
      </w:r>
    </w:p>
    <w:p>
      <w:pPr>
        <w:pStyle w:val="10"/>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_Toc28079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二章 竞选人须知</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_Toc28079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6</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8"/>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_Toc9495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Theme="minorEastAsia" w:hAnsiTheme="minorEastAsia" w:eastAsiaTheme="minorEastAsia" w:cstheme="minorEastAsia"/>
          <w:kern w:val="2"/>
          <w:szCs w:val="21"/>
          <w:lang w:val="en-US" w:eastAsia="zh-CN" w:bidi="ar-SA"/>
        </w:rPr>
        <w:t>、 总体说明</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_Toc9495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6</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1"/>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_Toc7205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Theme="minorEastAsia" w:hAnsiTheme="minorEastAsia" w:eastAsiaTheme="minorEastAsia" w:cstheme="minorEastAsia"/>
          <w:kern w:val="2"/>
          <w:szCs w:val="21"/>
          <w:lang w:val="en-US" w:eastAsia="zh-CN" w:bidi="ar-SA"/>
        </w:rPr>
        <w:t xml:space="preserve">、 </w:t>
      </w:r>
      <w:r>
        <w:rPr>
          <w:rFonts w:hint="eastAsia" w:asciiTheme="minorEastAsia" w:hAnsiTheme="minorEastAsia" w:eastAsiaTheme="minorEastAsia" w:cstheme="minorEastAsia"/>
          <w:kern w:val="2"/>
          <w:szCs w:val="21"/>
          <w:highlight w:val="none"/>
          <w:lang w:val="en-US" w:eastAsia="zh-CN" w:bidi="ar-SA"/>
        </w:rPr>
        <w:t>采购文件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_Toc7205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7</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1"/>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_Toc11798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三</w:t>
      </w:r>
      <w:r>
        <w:rPr>
          <w:rFonts w:hint="eastAsia" w:asciiTheme="minorEastAsia" w:hAnsiTheme="minorEastAsia" w:eastAsiaTheme="minorEastAsia" w:cstheme="minorEastAsia"/>
          <w:kern w:val="2"/>
          <w:szCs w:val="21"/>
          <w:lang w:val="en-US" w:eastAsia="zh-CN" w:bidi="ar-SA"/>
        </w:rPr>
        <w:t>、 响应文件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_Toc11798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7</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1"/>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_Toc26147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四</w:t>
      </w:r>
      <w:r>
        <w:rPr>
          <w:rFonts w:hint="eastAsia" w:asciiTheme="minorEastAsia" w:hAnsiTheme="minorEastAsia" w:eastAsiaTheme="minorEastAsia" w:cstheme="minorEastAsia"/>
          <w:kern w:val="2"/>
          <w:szCs w:val="21"/>
          <w:lang w:val="en-US" w:eastAsia="zh-CN" w:bidi="ar-SA"/>
        </w:rPr>
        <w:t xml:space="preserve">、 </w:t>
      </w:r>
      <w:r>
        <w:rPr>
          <w:rFonts w:hint="eastAsia" w:asciiTheme="minorEastAsia" w:hAnsiTheme="minorEastAsia" w:eastAsiaTheme="minorEastAsia" w:cstheme="minorEastAsia"/>
          <w:kern w:val="2"/>
          <w:szCs w:val="21"/>
          <w:highlight w:val="none"/>
          <w:lang w:val="en-US" w:eastAsia="zh-CN" w:bidi="ar-SA"/>
        </w:rPr>
        <w:t>响应总则</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_Toc26147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9</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1"/>
          <w:lang w:val="en-US" w:eastAsia="zh-CN" w:bidi="ar-SA"/>
        </w:rPr>
        <w:fldChar w:fldCharType="end"/>
      </w:r>
    </w:p>
    <w:p>
      <w:pPr>
        <w:pStyle w:val="10"/>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_Toc15057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三章 用户需求书</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_Toc15057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10</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8"/>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_Toc13052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项目需求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_Toc13052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10</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color w:val="auto"/>
          <w:kern w:val="2"/>
          <w:szCs w:val="21"/>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_Toc25033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项目技术参数及要求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_Toc25033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10</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color w:val="auto"/>
          <w:kern w:val="2"/>
          <w:szCs w:val="21"/>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_Toc24996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三</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项目商务要求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_Toc24996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13</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color w:val="auto"/>
          <w:kern w:val="2"/>
          <w:szCs w:val="21"/>
          <w:lang w:val="en-US" w:eastAsia="zh-CN" w:bidi="ar-SA"/>
        </w:rPr>
        <w:fldChar w:fldCharType="end"/>
      </w:r>
    </w:p>
    <w:p>
      <w:pPr>
        <w:pStyle w:val="10"/>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_Toc1721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四章 评审方式及程序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_Toc1721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15</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8"/>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_Toc3386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宋体" w:hAnsi="宋体" w:eastAsia="宋体" w:cs="宋体"/>
          <w:bCs w:val="0"/>
          <w:kern w:val="2"/>
          <w:szCs w:val="21"/>
          <w:lang w:val="en-US" w:eastAsia="zh-CN" w:bidi="ar-SA"/>
        </w:rPr>
        <w:t xml:space="preserve">、 </w:t>
      </w:r>
      <w:r>
        <w:rPr>
          <w:rFonts w:hint="eastAsia" w:asciiTheme="minorEastAsia" w:hAnsiTheme="minorEastAsia" w:eastAsiaTheme="minorEastAsia" w:cstheme="minorEastAsia"/>
          <w:bCs w:val="0"/>
          <w:kern w:val="2"/>
          <w:szCs w:val="21"/>
          <w:lang w:val="en-US" w:eastAsia="zh-CN" w:bidi="ar-SA"/>
        </w:rPr>
        <w:t>评审方式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_Toc3386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15</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val="0"/>
          <w:color w:val="auto"/>
          <w:kern w:val="2"/>
          <w:szCs w:val="21"/>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_Toc11622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highlight w:val="none"/>
          <w:lang w:val="en-US" w:eastAsia="zh-CN" w:bidi="ar-SA"/>
        </w:rPr>
        <w:t>评审程序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_Toc11622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15</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color w:val="auto"/>
          <w:kern w:val="2"/>
          <w:szCs w:val="21"/>
          <w:lang w:val="en-US" w:eastAsia="zh-CN" w:bidi="ar-SA"/>
        </w:rPr>
        <w:fldChar w:fldCharType="end"/>
      </w:r>
    </w:p>
    <w:p>
      <w:pPr>
        <w:pStyle w:val="6"/>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_Toc13064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1</w:t>
      </w:r>
      <w:r>
        <w:rPr>
          <w:rFonts w:hint="eastAsia" w:ascii="宋体" w:hAnsi="宋体" w:eastAsia="宋体" w:cs="宋体"/>
          <w:bCs w:val="0"/>
          <w:kern w:val="2"/>
          <w:szCs w:val="21"/>
          <w:lang w:val="en-US" w:eastAsia="zh-CN" w:bidi="ar-SA"/>
        </w:rPr>
        <w:t xml:space="preserve">． </w:t>
      </w:r>
      <w:r>
        <w:rPr>
          <w:rFonts w:hint="eastAsia" w:asciiTheme="minorEastAsia" w:hAnsiTheme="minorEastAsia" w:eastAsiaTheme="minorEastAsia" w:cstheme="minorEastAsia"/>
          <w:bCs w:val="0"/>
          <w:kern w:val="2"/>
          <w:szCs w:val="21"/>
          <w:highlight w:val="none"/>
          <w:lang w:val="en-US" w:eastAsia="zh-CN" w:bidi="ar-SA"/>
        </w:rPr>
        <w:t>响应文件符合性审查</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_Toc13064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15</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val="0"/>
          <w:color w:val="auto"/>
          <w:kern w:val="2"/>
          <w:szCs w:val="21"/>
          <w:lang w:val="en-US" w:eastAsia="zh-CN" w:bidi="ar-SA"/>
        </w:rPr>
        <w:fldChar w:fldCharType="end"/>
      </w:r>
    </w:p>
    <w:p>
      <w:pPr>
        <w:pStyle w:val="6"/>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_Toc11299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2</w:t>
      </w:r>
      <w:r>
        <w:rPr>
          <w:rFonts w:hint="eastAsia" w:ascii="宋体" w:hAnsi="宋体" w:eastAsia="宋体" w:cs="宋体"/>
          <w:bCs w:val="0"/>
          <w:kern w:val="2"/>
          <w:szCs w:val="21"/>
          <w:lang w:val="en-US" w:eastAsia="zh-CN" w:bidi="ar-SA"/>
        </w:rPr>
        <w:t xml:space="preserve">． </w:t>
      </w:r>
      <w:r>
        <w:rPr>
          <w:rFonts w:hint="eastAsia" w:asciiTheme="minorEastAsia" w:hAnsiTheme="minorEastAsia" w:eastAsiaTheme="minorEastAsia" w:cstheme="minorEastAsia"/>
          <w:bCs w:val="0"/>
          <w:kern w:val="2"/>
          <w:szCs w:val="21"/>
          <w:lang w:val="en-US" w:eastAsia="zh-CN" w:bidi="ar-SA"/>
        </w:rPr>
        <w:t>响应文件的澄清</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_Toc11299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15</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val="0"/>
          <w:color w:val="auto"/>
          <w:kern w:val="2"/>
          <w:szCs w:val="21"/>
          <w:lang w:val="en-US" w:eastAsia="zh-CN" w:bidi="ar-SA"/>
        </w:rPr>
        <w:fldChar w:fldCharType="end"/>
      </w:r>
    </w:p>
    <w:p>
      <w:pPr>
        <w:pStyle w:val="6"/>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_Toc11643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3</w:t>
      </w:r>
      <w:r>
        <w:rPr>
          <w:rFonts w:hint="eastAsia" w:ascii="宋体" w:hAnsi="宋体" w:eastAsia="宋体" w:cs="宋体"/>
          <w:bCs w:val="0"/>
          <w:kern w:val="2"/>
          <w:szCs w:val="21"/>
          <w:lang w:val="en-US" w:eastAsia="zh-CN" w:bidi="ar-SA"/>
        </w:rPr>
        <w:t xml:space="preserve">． </w:t>
      </w:r>
      <w:r>
        <w:rPr>
          <w:rFonts w:hint="eastAsia" w:asciiTheme="minorEastAsia" w:hAnsiTheme="minorEastAsia" w:eastAsiaTheme="minorEastAsia" w:cstheme="minorEastAsia"/>
          <w:bCs w:val="0"/>
          <w:kern w:val="2"/>
          <w:szCs w:val="21"/>
          <w:lang w:val="en-US" w:eastAsia="zh-CN" w:bidi="ar-SA"/>
        </w:rPr>
        <w:t>比较与评审</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_Toc11643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val="0"/>
          <w:color w:val="auto"/>
          <w:kern w:val="2"/>
          <w:szCs w:val="21"/>
          <w:lang w:val="en-US" w:eastAsia="zh-CN" w:bidi="ar-SA"/>
        </w:rPr>
        <w:fldChar w:fldCharType="end"/>
      </w:r>
    </w:p>
    <w:p>
      <w:pPr>
        <w:pStyle w:val="6"/>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_Toc875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4</w:t>
      </w:r>
      <w:r>
        <w:rPr>
          <w:rFonts w:hint="eastAsia" w:ascii="宋体" w:hAnsi="宋体" w:eastAsia="宋体" w:cs="宋体"/>
          <w:bCs w:val="0"/>
          <w:kern w:val="2"/>
          <w:szCs w:val="21"/>
          <w:lang w:val="en-US" w:eastAsia="zh-CN" w:bidi="ar-SA"/>
        </w:rPr>
        <w:t xml:space="preserve">． </w:t>
      </w:r>
      <w:r>
        <w:rPr>
          <w:rFonts w:hint="eastAsia" w:asciiTheme="minorEastAsia" w:hAnsiTheme="minorEastAsia" w:eastAsiaTheme="minorEastAsia" w:cstheme="minorEastAsia"/>
          <w:bCs w:val="0"/>
          <w:kern w:val="2"/>
          <w:szCs w:val="21"/>
          <w:highlight w:val="none"/>
          <w:lang w:val="en-US" w:eastAsia="zh-CN" w:bidi="ar-SA"/>
        </w:rPr>
        <w:t>综合评分的计算</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_Toc875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val="0"/>
          <w:color w:val="auto"/>
          <w:kern w:val="2"/>
          <w:szCs w:val="21"/>
          <w:lang w:val="en-US" w:eastAsia="zh-CN" w:bidi="ar-SA"/>
        </w:rPr>
        <w:fldChar w:fldCharType="end"/>
      </w:r>
    </w:p>
    <w:p>
      <w:pPr>
        <w:pStyle w:val="6"/>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_Toc21468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5</w:t>
      </w:r>
      <w:r>
        <w:rPr>
          <w:rFonts w:hint="eastAsia" w:ascii="宋体" w:hAnsi="宋体" w:eastAsia="宋体" w:cs="宋体"/>
          <w:bCs w:val="0"/>
          <w:kern w:val="2"/>
          <w:szCs w:val="21"/>
          <w:lang w:val="en-US" w:eastAsia="zh-CN" w:bidi="ar-SA"/>
        </w:rPr>
        <w:t xml:space="preserve">． </w:t>
      </w:r>
      <w:r>
        <w:rPr>
          <w:rFonts w:hint="eastAsia" w:asciiTheme="minorEastAsia" w:hAnsiTheme="minorEastAsia" w:eastAsiaTheme="minorEastAsia" w:cstheme="minorEastAsia"/>
          <w:bCs w:val="0"/>
          <w:kern w:val="2"/>
          <w:szCs w:val="21"/>
          <w:highlight w:val="none"/>
          <w:lang w:val="en-US" w:eastAsia="zh-CN" w:bidi="ar-SA"/>
        </w:rPr>
        <w:t>确定中选人</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_Toc21468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val="0"/>
          <w:color w:val="auto"/>
          <w:kern w:val="2"/>
          <w:szCs w:val="21"/>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_Toc2870 </w:instrText>
      </w:r>
      <w:r>
        <w:rPr>
          <w:rFonts w:hint="eastAsia" w:ascii="黑体" w:hAnsi="黑体" w:eastAsia="黑体" w:cs="黑体"/>
          <w:bCs/>
          <w:color w:val="auto"/>
          <w:kern w:val="2"/>
          <w:szCs w:val="24"/>
          <w:lang w:val="en-US" w:eastAsia="zh-CN" w:bidi="ar-SA"/>
        </w:rPr>
        <w:fldChar w:fldCharType="separate"/>
      </w:r>
      <w:r>
        <w:rPr>
          <w:rFonts w:hint="eastAsia" w:ascii="黑体" w:hAnsi="黑体" w:eastAsia="黑体" w:cs="黑体"/>
          <w:bCs w:val="0"/>
          <w:kern w:val="2"/>
          <w:szCs w:val="28"/>
          <w:lang w:val="en-US" w:eastAsia="zh-CN" w:bidi="ar-SA"/>
        </w:rPr>
        <w:t>附表一</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_Toc2870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17</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_Toc19667 </w:instrText>
      </w:r>
      <w:r>
        <w:rPr>
          <w:rFonts w:hint="eastAsia" w:ascii="黑体" w:hAnsi="黑体" w:eastAsia="黑体" w:cs="黑体"/>
          <w:bCs/>
          <w:color w:val="auto"/>
          <w:kern w:val="2"/>
          <w:szCs w:val="24"/>
          <w:lang w:val="en-US" w:eastAsia="zh-CN" w:bidi="ar-SA"/>
        </w:rPr>
        <w:fldChar w:fldCharType="separate"/>
      </w:r>
      <w:r>
        <w:rPr>
          <w:rFonts w:hint="eastAsia" w:ascii="黑体" w:hAnsi="黑体" w:eastAsia="黑体" w:cs="黑体"/>
          <w:kern w:val="2"/>
          <w:szCs w:val="28"/>
          <w:lang w:val="en-US" w:eastAsia="zh-CN" w:bidi="ar-SA"/>
        </w:rPr>
        <w:t>资格性、符合性审查表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_Toc19667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17</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_Toc27629 </w:instrText>
      </w:r>
      <w:r>
        <w:rPr>
          <w:rFonts w:hint="eastAsia" w:ascii="黑体" w:hAnsi="黑体" w:eastAsia="黑体" w:cs="黑体"/>
          <w:bCs/>
          <w:color w:val="auto"/>
          <w:kern w:val="2"/>
          <w:szCs w:val="24"/>
          <w:lang w:val="en-US" w:eastAsia="zh-CN" w:bidi="ar-SA"/>
        </w:rPr>
        <w:fldChar w:fldCharType="separate"/>
      </w:r>
      <w:r>
        <w:rPr>
          <w:rFonts w:hint="eastAsia" w:ascii="黑体" w:hAnsi="黑体" w:eastAsia="黑体" w:cs="黑体"/>
          <w:bCs w:val="0"/>
          <w:kern w:val="2"/>
          <w:szCs w:val="28"/>
          <w:lang w:val="en-US" w:eastAsia="zh-CN" w:bidi="ar-SA"/>
        </w:rPr>
        <w:t>附表二</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_Toc27629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18</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_Toc20985 </w:instrText>
      </w:r>
      <w:r>
        <w:rPr>
          <w:rFonts w:hint="eastAsia" w:ascii="黑体" w:hAnsi="黑体" w:eastAsia="黑体" w:cs="黑体"/>
          <w:bCs/>
          <w:color w:val="auto"/>
          <w:kern w:val="2"/>
          <w:szCs w:val="24"/>
          <w:lang w:val="en-US" w:eastAsia="zh-CN" w:bidi="ar-SA"/>
        </w:rPr>
        <w:fldChar w:fldCharType="separate"/>
      </w:r>
      <w:r>
        <w:rPr>
          <w:rFonts w:hint="eastAsia" w:ascii="黑体" w:hAnsi="黑体" w:eastAsia="黑体" w:cs="黑体"/>
          <w:kern w:val="2"/>
          <w:szCs w:val="28"/>
          <w:highlight w:val="none"/>
          <w:lang w:val="en-US" w:eastAsia="zh-CN" w:bidi="ar-SA"/>
        </w:rPr>
        <w:t>技术商务部分评分表（65分）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_Toc20985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18</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_Toc18488 </w:instrText>
      </w:r>
      <w:r>
        <w:rPr>
          <w:rFonts w:hint="eastAsia" w:ascii="黑体" w:hAnsi="黑体" w:eastAsia="黑体" w:cs="黑体"/>
          <w:bCs/>
          <w:color w:val="auto"/>
          <w:kern w:val="2"/>
          <w:szCs w:val="24"/>
          <w:lang w:val="en-US" w:eastAsia="zh-CN" w:bidi="ar-SA"/>
        </w:rPr>
        <w:fldChar w:fldCharType="separate"/>
      </w:r>
      <w:r>
        <w:rPr>
          <w:rFonts w:hint="eastAsia" w:ascii="黑体" w:hAnsi="黑体" w:eastAsia="黑体" w:cs="黑体"/>
          <w:bCs w:val="0"/>
          <w:kern w:val="2"/>
          <w:szCs w:val="28"/>
          <w:lang w:val="en-US" w:eastAsia="zh-CN" w:bidi="ar-SA"/>
        </w:rPr>
        <w:t>附表三</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_Toc18488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20</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_Toc21765 </w:instrText>
      </w:r>
      <w:r>
        <w:rPr>
          <w:rFonts w:hint="eastAsia" w:ascii="黑体" w:hAnsi="黑体" w:eastAsia="黑体" w:cs="黑体"/>
          <w:bCs/>
          <w:color w:val="auto"/>
          <w:kern w:val="2"/>
          <w:szCs w:val="24"/>
          <w:lang w:val="en-US" w:eastAsia="zh-CN" w:bidi="ar-SA"/>
        </w:rPr>
        <w:fldChar w:fldCharType="separate"/>
      </w:r>
      <w:r>
        <w:rPr>
          <w:rFonts w:hint="eastAsia" w:ascii="黑体" w:hAnsi="黑体" w:eastAsia="黑体" w:cs="黑体"/>
          <w:kern w:val="2"/>
          <w:szCs w:val="28"/>
          <w:lang w:val="en-US" w:eastAsia="zh-CN" w:bidi="ar-SA"/>
        </w:rPr>
        <w:t>价 格 评 分 表（35分）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_Toc21765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20</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0"/>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_Toc26099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五章 响应文件格式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_Toc26099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21</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8"/>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_Toc15192 </w:instrText>
      </w:r>
      <w:r>
        <w:rPr>
          <w:rFonts w:hint="eastAsia" w:ascii="黑体" w:hAnsi="黑体" w:eastAsia="黑体" w:cs="黑体"/>
          <w:bCs/>
          <w:color w:val="auto"/>
          <w:kern w:val="2"/>
          <w:szCs w:val="24"/>
          <w:lang w:val="en-US" w:eastAsia="zh-CN" w:bidi="ar-SA"/>
        </w:rPr>
        <w:fldChar w:fldCharType="separate"/>
      </w:r>
      <w:r>
        <w:rPr>
          <w:rFonts w:hint="eastAsia" w:ascii="Times New Roman" w:hAnsi="Times New Roman" w:eastAsia="宋体" w:cs="Times New Roman"/>
          <w:kern w:val="2"/>
          <w:szCs w:val="22"/>
          <w:lang w:val="en-US" w:eastAsia="zh-CN" w:bidi="ar-SA"/>
        </w:rPr>
        <w:t>响应文件包装封面参考</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_Toc15192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21</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_Toc22540 </w:instrText>
      </w:r>
      <w:r>
        <w:rPr>
          <w:rFonts w:hint="eastAsia" w:ascii="黑体" w:hAnsi="黑体" w:eastAsia="黑体" w:cs="黑体"/>
          <w:bCs/>
          <w:color w:val="auto"/>
          <w:kern w:val="2"/>
          <w:szCs w:val="24"/>
          <w:lang w:val="en-US" w:eastAsia="zh-CN" w:bidi="ar-SA"/>
        </w:rPr>
        <w:fldChar w:fldCharType="separate"/>
      </w:r>
      <w:r>
        <w:rPr>
          <w:rFonts w:hint="eastAsia" w:ascii="Times New Roman" w:hAnsi="Times New Roman" w:eastAsia="宋体" w:cs="Times New Roman"/>
          <w:kern w:val="2"/>
          <w:szCs w:val="22"/>
          <w:lang w:val="en-US" w:eastAsia="zh-CN" w:bidi="ar-SA"/>
        </w:rPr>
        <w:t>响应报价文件目录表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_Toc22540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22</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_Toc19190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格式1：响应函</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_Toc19190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23</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_Toc30749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格式2：法定代表人证明及授权书</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_Toc30749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25</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_Toc31784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格式3：资格声明函</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_Toc31784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26</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_Toc13816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highlight w:val="none"/>
          <w:lang w:val="en-US" w:eastAsia="zh-CN" w:bidi="ar-SA"/>
        </w:rPr>
        <w:t>格式4：实质性条款响应一览表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_Toc13816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27</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_Toc15713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格式5：同意采购文件条款说明</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_Toc15713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28</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_Toc13449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格式6：货物技术参数响应一览表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_Toc13449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29</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_Toc25373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格式7：货物技术服务方案</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_Toc25373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30</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_Toc9900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格式8：2017年至今同类项目业绩情况一览表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_Toc9900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31</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_Toc3019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格式9：拟派本项目负责人及主要人员情况表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_Toc3019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32</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_Toc13302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格式10：与采购人需求差异表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_Toc13302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33</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0"/>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_Toc16394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8"/>
          <w:lang w:val="en-US" w:eastAsia="zh-CN" w:bidi="ar-SA"/>
        </w:rPr>
        <w:t>第六章 合同通用条款</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_Toc16394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34</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_Toc11392 </w:instrText>
      </w:r>
      <w:r>
        <w:rPr>
          <w:rFonts w:hint="eastAsia" w:ascii="黑体" w:hAnsi="黑体" w:eastAsia="黑体" w:cs="黑体"/>
          <w:bCs/>
          <w:color w:val="auto"/>
          <w:kern w:val="2"/>
          <w:szCs w:val="24"/>
          <w:lang w:val="en-US" w:eastAsia="zh-CN" w:bidi="ar-SA"/>
        </w:rPr>
        <w:fldChar w:fldCharType="separate"/>
      </w:r>
      <w:r>
        <w:rPr>
          <w:rFonts w:hint="eastAsia" w:ascii="宋体" w:hAnsi="宋体" w:eastAsia="宋体" w:cs="Times New Roman"/>
          <w:kern w:val="2"/>
          <w:szCs w:val="21"/>
          <w:lang w:val="en-US" w:eastAsia="zh-CN" w:bidi="ar-SA"/>
        </w:rPr>
        <w:t>一、项目内容</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_Toc11392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34</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_Toc6586 </w:instrText>
      </w:r>
      <w:r>
        <w:rPr>
          <w:rFonts w:hint="eastAsia" w:ascii="黑体" w:hAnsi="黑体" w:eastAsia="黑体" w:cs="黑体"/>
          <w:bCs/>
          <w:color w:val="auto"/>
          <w:kern w:val="2"/>
          <w:szCs w:val="24"/>
          <w:lang w:val="en-US" w:eastAsia="zh-CN" w:bidi="ar-SA"/>
        </w:rPr>
        <w:fldChar w:fldCharType="separate"/>
      </w:r>
      <w:r>
        <w:rPr>
          <w:rFonts w:hint="eastAsia" w:ascii="Times New Roman" w:hAnsi="Times New Roman" w:eastAsia="宋体" w:cs="Times New Roman"/>
          <w:kern w:val="0"/>
          <w:szCs w:val="21"/>
          <w:lang w:val="en-US" w:eastAsia="zh-CN" w:bidi="ar-SA"/>
        </w:rPr>
        <w:t>二、交货要求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_Toc6586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35</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_Toc19498 </w:instrText>
      </w:r>
      <w:r>
        <w:rPr>
          <w:rFonts w:hint="eastAsia" w:ascii="黑体" w:hAnsi="黑体" w:eastAsia="黑体" w:cs="黑体"/>
          <w:bCs/>
          <w:color w:val="auto"/>
          <w:kern w:val="2"/>
          <w:szCs w:val="24"/>
          <w:lang w:val="en-US" w:eastAsia="zh-CN" w:bidi="ar-SA"/>
        </w:rPr>
        <w:fldChar w:fldCharType="separate"/>
      </w:r>
      <w:r>
        <w:rPr>
          <w:rFonts w:hint="eastAsia" w:ascii="Times New Roman" w:hAnsi="Times New Roman" w:eastAsia="宋体" w:cs="Times New Roman"/>
          <w:kern w:val="0"/>
          <w:szCs w:val="21"/>
          <w:lang w:val="en-US" w:eastAsia="zh-CN" w:bidi="ar-SA"/>
        </w:rPr>
        <w:t>三、</w:t>
      </w:r>
      <w:r>
        <w:rPr>
          <w:rFonts w:hint="eastAsia" w:ascii="Times New Roman" w:hAnsi="Times New Roman" w:eastAsia="宋体" w:cs="Times New Roman"/>
          <w:kern w:val="0"/>
          <w:szCs w:val="21"/>
          <w:lang w:val="zh-CN" w:eastAsia="zh-CN" w:bidi="ar-SA"/>
        </w:rPr>
        <w:t>验收要求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_Toc19498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35</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_Toc20658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val="0"/>
          <w:kern w:val="2"/>
          <w:szCs w:val="21"/>
          <w:lang w:val="en-US" w:eastAsia="zh-CN" w:bidi="ar-SA"/>
        </w:rPr>
        <w:t>四、质保期、售后服务</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_Toc20658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36</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_Toc4350 </w:instrText>
      </w:r>
      <w:r>
        <w:rPr>
          <w:rFonts w:hint="eastAsia" w:ascii="黑体" w:hAnsi="黑体" w:eastAsia="黑体" w:cs="黑体"/>
          <w:bCs/>
          <w:color w:val="auto"/>
          <w:kern w:val="2"/>
          <w:szCs w:val="24"/>
          <w:lang w:val="en-US" w:eastAsia="zh-CN" w:bidi="ar-SA"/>
        </w:rPr>
        <w:fldChar w:fldCharType="separate"/>
      </w:r>
      <w:r>
        <w:rPr>
          <w:rFonts w:hint="eastAsia" w:asciiTheme="minorEastAsia" w:hAnsiTheme="minorEastAsia" w:eastAsiaTheme="minorEastAsia" w:cstheme="minorEastAsia"/>
          <w:bCs/>
          <w:kern w:val="2"/>
          <w:szCs w:val="21"/>
          <w:highlight w:val="none"/>
          <w:lang w:val="en-US" w:eastAsia="zh-CN" w:bidi="ar-SA"/>
        </w:rPr>
        <w:t>五、付款方式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_Toc4350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36</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_Toc16930 </w:instrText>
      </w:r>
      <w:r>
        <w:rPr>
          <w:rFonts w:hint="eastAsia" w:ascii="黑体" w:hAnsi="黑体" w:eastAsia="黑体" w:cs="黑体"/>
          <w:bCs/>
          <w:color w:val="auto"/>
          <w:kern w:val="2"/>
          <w:szCs w:val="24"/>
          <w:lang w:val="en-US" w:eastAsia="zh-CN" w:bidi="ar-SA"/>
        </w:rPr>
        <w:fldChar w:fldCharType="separate"/>
      </w:r>
      <w:r>
        <w:rPr>
          <w:rFonts w:ascii="Times New Roman" w:hAnsi="Times New Roman" w:eastAsia="宋体" w:cs="Times New Roman"/>
          <w:kern w:val="2"/>
          <w:szCs w:val="24"/>
          <w:lang w:val="en-US" w:eastAsia="zh-CN" w:bidi="ar-SA"/>
        </w:rPr>
        <w:t>六</w:t>
      </w:r>
      <w:r>
        <w:rPr>
          <w:rFonts w:hint="eastAsia" w:asciiTheme="minorEastAsia" w:hAnsiTheme="minorEastAsia" w:eastAsiaTheme="minorEastAsia" w:cstheme="minorEastAsia"/>
          <w:bCs/>
          <w:kern w:val="2"/>
          <w:szCs w:val="21"/>
          <w:lang w:val="en-US" w:eastAsia="zh-CN" w:bidi="ar-SA"/>
        </w:rPr>
        <w:t xml:space="preserve">、 </w:t>
      </w:r>
      <w:r>
        <w:rPr>
          <w:rFonts w:hint="eastAsia" w:asciiTheme="minorEastAsia" w:hAnsiTheme="minorEastAsia" w:eastAsiaTheme="minorEastAsia" w:cstheme="minorEastAsia"/>
          <w:bCs/>
          <w:kern w:val="2"/>
          <w:szCs w:val="21"/>
          <w:highlight w:val="none"/>
          <w:lang w:val="en-US" w:eastAsia="zh-CN" w:bidi="ar-SA"/>
        </w:rPr>
        <w:t>保密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_Toc16930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36</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color w:val="auto"/>
          <w:kern w:val="2"/>
          <w:szCs w:val="21"/>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_Toc1426 </w:instrText>
      </w:r>
      <w:r>
        <w:rPr>
          <w:rFonts w:hint="eastAsia" w:ascii="黑体" w:hAnsi="黑体" w:eastAsia="黑体" w:cs="黑体"/>
          <w:bCs/>
          <w:color w:val="auto"/>
          <w:kern w:val="2"/>
          <w:szCs w:val="24"/>
          <w:lang w:val="en-US" w:eastAsia="zh-CN" w:bidi="ar-SA"/>
        </w:rPr>
        <w:fldChar w:fldCharType="separate"/>
      </w:r>
      <w:r>
        <w:rPr>
          <w:rFonts w:hint="eastAsia" w:ascii="宋体" w:hAnsi="宋体" w:eastAsia="宋体" w:cs="Times New Roman"/>
          <w:kern w:val="2"/>
          <w:szCs w:val="21"/>
          <w:lang w:val="en-US" w:eastAsia="zh-CN" w:bidi="ar-SA"/>
        </w:rPr>
        <w:t>七、知识产权</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_Toc1426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37</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_Toc28636 </w:instrText>
      </w:r>
      <w:r>
        <w:rPr>
          <w:rFonts w:hint="eastAsia" w:ascii="黑体" w:hAnsi="黑体" w:eastAsia="黑体" w:cs="黑体"/>
          <w:bCs/>
          <w:color w:val="auto"/>
          <w:kern w:val="2"/>
          <w:szCs w:val="24"/>
          <w:lang w:val="en-US" w:eastAsia="zh-CN" w:bidi="ar-SA"/>
        </w:rPr>
        <w:fldChar w:fldCharType="separate"/>
      </w:r>
      <w:r>
        <w:rPr>
          <w:rFonts w:hint="eastAsia" w:ascii="宋体" w:hAnsi="宋体" w:eastAsia="宋体" w:cs="Times New Roman"/>
          <w:kern w:val="2"/>
          <w:szCs w:val="21"/>
          <w:lang w:val="en-US" w:eastAsia="zh-CN" w:bidi="ar-SA"/>
        </w:rPr>
        <w:t>八、违约责任与赔偿损失</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_Toc28636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37</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_Toc10144 </w:instrText>
      </w:r>
      <w:r>
        <w:rPr>
          <w:rFonts w:hint="eastAsia" w:ascii="黑体" w:hAnsi="黑体" w:eastAsia="黑体" w:cs="黑体"/>
          <w:bCs/>
          <w:color w:val="auto"/>
          <w:kern w:val="2"/>
          <w:szCs w:val="24"/>
          <w:lang w:val="en-US" w:eastAsia="zh-CN" w:bidi="ar-SA"/>
        </w:rPr>
        <w:fldChar w:fldCharType="separate"/>
      </w:r>
      <w:r>
        <w:rPr>
          <w:rFonts w:hint="eastAsia" w:ascii="宋体" w:hAnsi="宋体" w:eastAsia="宋体" w:cs="Times New Roman"/>
          <w:kern w:val="2"/>
          <w:szCs w:val="21"/>
          <w:lang w:val="en-US" w:eastAsia="zh-CN" w:bidi="ar-SA"/>
        </w:rPr>
        <w:t>九、不可抗力</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_Toc10144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37</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_Toc7968 </w:instrText>
      </w:r>
      <w:r>
        <w:rPr>
          <w:rFonts w:hint="eastAsia" w:ascii="黑体" w:hAnsi="黑体" w:eastAsia="黑体" w:cs="黑体"/>
          <w:bCs/>
          <w:color w:val="auto"/>
          <w:kern w:val="2"/>
          <w:szCs w:val="24"/>
          <w:lang w:val="en-US" w:eastAsia="zh-CN" w:bidi="ar-SA"/>
        </w:rPr>
        <w:fldChar w:fldCharType="separate"/>
      </w:r>
      <w:r>
        <w:rPr>
          <w:rFonts w:hint="eastAsia" w:ascii="宋体" w:hAnsi="宋体" w:eastAsia="宋体" w:cs="Times New Roman"/>
          <w:kern w:val="2"/>
          <w:szCs w:val="21"/>
          <w:lang w:val="en-US" w:eastAsia="zh-CN" w:bidi="ar-SA"/>
        </w:rPr>
        <w:t>十、争议及解决办法</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_Toc7968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38</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_Toc5161 </w:instrText>
      </w:r>
      <w:r>
        <w:rPr>
          <w:rFonts w:hint="eastAsia" w:ascii="黑体" w:hAnsi="黑体" w:eastAsia="黑体" w:cs="黑体"/>
          <w:bCs/>
          <w:color w:val="auto"/>
          <w:kern w:val="2"/>
          <w:szCs w:val="24"/>
          <w:lang w:val="en-US" w:eastAsia="zh-CN" w:bidi="ar-SA"/>
        </w:rPr>
        <w:fldChar w:fldCharType="separate"/>
      </w:r>
      <w:r>
        <w:rPr>
          <w:rFonts w:hint="eastAsia" w:ascii="宋体" w:hAnsi="宋体" w:eastAsia="宋体" w:cs="Times New Roman"/>
          <w:kern w:val="2"/>
          <w:szCs w:val="21"/>
          <w:lang w:val="en-US" w:eastAsia="zh-CN" w:bidi="ar-SA"/>
        </w:rPr>
        <w:t>十一、法律效力</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_Toc5161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38</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1"/>
        <w:tabs>
          <w:tab w:val="right" w:leader="dot" w:pos="9242"/>
        </w:tabs>
        <w:rPr>
          <w:rFonts w:ascii="Times New Roman" w:hAnsi="Times New Roman" w:eastAsia="宋体" w:cs="Times New Roman"/>
          <w:kern w:val="2"/>
          <w:szCs w:val="24"/>
          <w:lang w:val="en-US" w:eastAsia="zh-CN" w:bidi="ar-SA"/>
        </w:rPr>
      </w:pPr>
      <w:r>
        <w:rPr>
          <w:rFonts w:hint="eastAsia" w:ascii="黑体" w:hAnsi="黑体" w:eastAsia="黑体" w:cs="黑体"/>
          <w:bCs/>
          <w:color w:val="auto"/>
          <w:kern w:val="2"/>
          <w:szCs w:val="24"/>
          <w:lang w:val="en-US" w:eastAsia="zh-CN" w:bidi="ar-SA"/>
        </w:rPr>
        <w:fldChar w:fldCharType="begin"/>
      </w:r>
      <w:r>
        <w:rPr>
          <w:rFonts w:hint="eastAsia" w:ascii="黑体" w:hAnsi="黑体" w:eastAsia="黑体" w:cs="黑体"/>
          <w:bCs/>
          <w:color w:val="auto"/>
          <w:kern w:val="2"/>
          <w:szCs w:val="24"/>
          <w:lang w:val="en-US" w:eastAsia="zh-CN" w:bidi="ar-SA"/>
        </w:rPr>
        <w:instrText xml:space="preserve"> HYPERLINK \l _Toc15013 </w:instrText>
      </w:r>
      <w:r>
        <w:rPr>
          <w:rFonts w:hint="eastAsia" w:ascii="黑体" w:hAnsi="黑体" w:eastAsia="黑体" w:cs="黑体"/>
          <w:bCs/>
          <w:color w:val="auto"/>
          <w:kern w:val="2"/>
          <w:szCs w:val="24"/>
          <w:lang w:val="en-US" w:eastAsia="zh-CN" w:bidi="ar-SA"/>
        </w:rPr>
        <w:fldChar w:fldCharType="separate"/>
      </w:r>
      <w:r>
        <w:rPr>
          <w:rFonts w:hint="eastAsia" w:ascii="宋体" w:hAnsi="宋体" w:eastAsia="宋体" w:cs="Times New Roman"/>
          <w:kern w:val="2"/>
          <w:szCs w:val="21"/>
          <w:lang w:val="en-US" w:eastAsia="zh-CN" w:bidi="ar-SA"/>
        </w:rPr>
        <w:t>十二、合同附件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_Toc15013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38</w:t>
      </w:r>
      <w:r>
        <w:rPr>
          <w:rFonts w:ascii="Times New Roman" w:hAnsi="Times New Roman" w:eastAsia="宋体" w:cs="Times New Roman"/>
          <w:kern w:val="2"/>
          <w:szCs w:val="24"/>
          <w:lang w:val="en-US" w:eastAsia="zh-CN" w:bidi="ar-SA"/>
        </w:rPr>
        <w:fldChar w:fldCharType="end"/>
      </w:r>
      <w:r>
        <w:rPr>
          <w:rFonts w:hint="eastAsia" w:ascii="黑体" w:hAnsi="黑体" w:eastAsia="黑体" w:cs="黑体"/>
          <w:bCs/>
          <w:color w:val="auto"/>
          <w:kern w:val="2"/>
          <w:szCs w:val="24"/>
          <w:lang w:val="en-US" w:eastAsia="zh-CN" w:bidi="ar-SA"/>
        </w:rPr>
        <w:fldChar w:fldCharType="end"/>
      </w:r>
    </w:p>
    <w:p>
      <w:pPr>
        <w:pStyle w:val="10"/>
        <w:numPr>
          <w:ilvl w:val="-1"/>
          <w:numId w:val="0"/>
        </w:numPr>
        <w:tabs>
          <w:tab w:val="right" w:leader="dot" w:pos="9242"/>
        </w:tabs>
        <w:rPr>
          <w:rFonts w:hint="eastAsia" w:ascii="黑体" w:hAnsi="黑体" w:eastAsia="黑体" w:cs="黑体"/>
          <w:color w:val="auto"/>
          <w:sz w:val="24"/>
          <w:szCs w:val="24"/>
          <w:lang w:val="en-US" w:eastAsia="zh-CN"/>
        </w:rPr>
      </w:pPr>
      <w:r>
        <w:rPr>
          <w:rFonts w:hint="eastAsia" w:ascii="黑体" w:hAnsi="黑体" w:eastAsia="黑体" w:cs="黑体"/>
          <w:bCs/>
          <w:color w:val="auto"/>
          <w:kern w:val="2"/>
          <w:szCs w:val="24"/>
          <w:lang w:val="en-US" w:eastAsia="zh-CN" w:bidi="ar-SA"/>
        </w:rPr>
        <w:fldChar w:fldCharType="end"/>
      </w:r>
    </w:p>
    <w:p>
      <w:pPr>
        <w:pStyle w:val="14"/>
        <w:tabs>
          <w:tab w:val="right" w:leader="dot" w:pos="9242"/>
        </w:tabs>
        <w:rPr>
          <w:rFonts w:hint="default" w:asciiTheme="minorEastAsia" w:hAnsiTheme="minorEastAsia" w:eastAsiaTheme="minorEastAsia" w:cstheme="minorEastAsia"/>
          <w:b/>
          <w:bCs/>
          <w:color w:val="auto"/>
          <w:sz w:val="24"/>
          <w:szCs w:val="24"/>
          <w:lang w:val="en-US"/>
        </w:rPr>
        <w:sectPr>
          <w:headerReference r:id="rId3" w:type="default"/>
          <w:footerReference r:id="rId4" w:type="default"/>
          <w:pgSz w:w="11907" w:h="16840"/>
          <w:pgMar w:top="1417" w:right="1304" w:bottom="1361" w:left="1361" w:header="788" w:footer="510" w:gutter="0"/>
          <w:pgBorders>
            <w:top w:val="none" w:color="auto" w:sz="0" w:space="0"/>
            <w:left w:val="none" w:color="auto" w:sz="0" w:space="0"/>
            <w:bottom w:val="none" w:color="auto" w:sz="0" w:space="0"/>
            <w:right w:val="none" w:color="auto" w:sz="0" w:space="0"/>
          </w:pgBorders>
          <w:pgNumType w:fmt="decimal" w:start="1"/>
          <w:cols w:space="720" w:num="1"/>
          <w:docGrid w:linePitch="285" w:charSpace="0"/>
        </w:sectPr>
      </w:pPr>
    </w:p>
    <w:p>
      <w:pPr>
        <w:numPr>
          <w:ilvl w:val="0"/>
          <w:numId w:val="2"/>
        </w:numPr>
        <w:adjustRightInd w:val="0"/>
        <w:snapToGrid w:val="0"/>
        <w:spacing w:beforeLines="50" w:afterLines="50" w:line="360" w:lineRule="auto"/>
        <w:ind w:left="0" w:leftChars="0" w:firstLine="0" w:firstLineChars="0"/>
        <w:jc w:val="center"/>
        <w:outlineLvl w:val="0"/>
        <w:rPr>
          <w:rFonts w:hint="eastAsia" w:asciiTheme="minorEastAsia" w:hAnsiTheme="minorEastAsia" w:eastAsiaTheme="minorEastAsia" w:cstheme="minorEastAsia"/>
          <w:b/>
          <w:bCs/>
          <w:color w:val="auto"/>
          <w:sz w:val="28"/>
          <w:szCs w:val="28"/>
          <w:lang w:eastAsia="zh-CN"/>
        </w:rPr>
      </w:pPr>
      <w:bookmarkStart w:id="3" w:name="_Toc32568"/>
      <w:r>
        <w:rPr>
          <w:rFonts w:hint="eastAsia" w:asciiTheme="minorEastAsia" w:hAnsiTheme="minorEastAsia" w:eastAsiaTheme="minorEastAsia" w:cstheme="minorEastAsia"/>
          <w:b/>
          <w:bCs/>
          <w:color w:val="auto"/>
          <w:sz w:val="28"/>
          <w:szCs w:val="28"/>
          <w:lang w:eastAsia="zh-CN"/>
        </w:rPr>
        <w:t>竞选邀请</w:t>
      </w:r>
      <w:bookmarkEnd w:id="0"/>
      <w:bookmarkEnd w:id="1"/>
      <w:bookmarkEnd w:id="2"/>
      <w:r>
        <w:rPr>
          <w:rFonts w:hint="eastAsia" w:asciiTheme="minorEastAsia" w:hAnsiTheme="minorEastAsia" w:eastAsiaTheme="minorEastAsia" w:cstheme="minorEastAsia"/>
          <w:b/>
          <w:bCs/>
          <w:color w:val="auto"/>
          <w:sz w:val="28"/>
          <w:szCs w:val="28"/>
          <w:lang w:val="en-US" w:eastAsia="zh-CN"/>
        </w:rPr>
        <w:t>函</w:t>
      </w:r>
      <w:bookmarkEnd w:id="3"/>
    </w:p>
    <w:p>
      <w:pPr>
        <w:numPr>
          <w:ilvl w:val="0"/>
          <w:numId w:val="3"/>
        </w:num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竞选项目编号：穗广科竞〔2019〕4号</w:t>
      </w:r>
    </w:p>
    <w:p>
      <w:pPr>
        <w:numPr>
          <w:ilvl w:val="0"/>
          <w:numId w:val="3"/>
        </w:numPr>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竞选项目名称：</w:t>
      </w:r>
      <w:r>
        <w:rPr>
          <w:rFonts w:hint="eastAsia" w:asciiTheme="minorEastAsia" w:hAnsiTheme="minorEastAsia" w:eastAsiaTheme="minorEastAsia" w:cstheme="minorEastAsia"/>
          <w:b/>
          <w:color w:val="auto"/>
          <w:szCs w:val="21"/>
          <w:lang w:eastAsia="zh-CN"/>
        </w:rPr>
        <w:t>广检集团广科院数据库服务器系统初期搭建项目</w:t>
      </w:r>
    </w:p>
    <w:p>
      <w:pPr>
        <w:numPr>
          <w:ilvl w:val="0"/>
          <w:numId w:val="3"/>
        </w:num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竞选项目内容：</w:t>
      </w:r>
    </w:p>
    <w:tbl>
      <w:tblPr>
        <w:tblStyle w:val="13"/>
        <w:tblW w:w="9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260"/>
        <w:gridCol w:w="1539"/>
        <w:gridCol w:w="334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lang w:eastAsia="zh-CN"/>
              </w:rPr>
            </w:pPr>
            <w:r>
              <w:rPr>
                <w:rFonts w:hint="eastAsia" w:ascii="宋体" w:hAnsi="宋体"/>
                <w:bCs/>
                <w:color w:val="auto"/>
                <w:szCs w:val="21"/>
                <w:lang w:eastAsia="zh-CN"/>
              </w:rPr>
              <w:t>序号</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r>
              <w:rPr>
                <w:rFonts w:hint="eastAsia" w:ascii="宋体" w:hAnsi="宋体"/>
                <w:bCs/>
                <w:color w:val="auto"/>
                <w:szCs w:val="21"/>
              </w:rPr>
              <w:t>货物名称</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r>
              <w:rPr>
                <w:rFonts w:hint="eastAsia" w:ascii="宋体" w:hAnsi="宋体"/>
                <w:bCs/>
                <w:color w:val="auto"/>
                <w:szCs w:val="21"/>
              </w:rPr>
              <w:t>数量（</w:t>
            </w:r>
            <w:r>
              <w:rPr>
                <w:rFonts w:hint="eastAsia" w:ascii="宋体" w:hAnsi="宋体"/>
                <w:bCs/>
                <w:color w:val="auto"/>
                <w:szCs w:val="21"/>
                <w:lang w:val="en-US" w:eastAsia="zh-CN"/>
              </w:rPr>
              <w:t>台</w:t>
            </w:r>
            <w:r>
              <w:rPr>
                <w:rFonts w:hint="eastAsia" w:ascii="宋体" w:hAnsi="宋体"/>
                <w:bCs/>
                <w:color w:val="auto"/>
                <w:szCs w:val="21"/>
              </w:rPr>
              <w:t>）</w:t>
            </w:r>
          </w:p>
        </w:tc>
        <w:tc>
          <w:tcPr>
            <w:tcW w:w="3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r>
              <w:rPr>
                <w:rFonts w:hint="eastAsia" w:ascii="宋体" w:hAnsi="宋体"/>
                <w:bCs/>
                <w:color w:val="auto"/>
                <w:szCs w:val="21"/>
              </w:rPr>
              <w:t>最高限价</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color w:val="auto"/>
                <w:szCs w:val="21"/>
                <w:lang w:val="en-US" w:eastAsia="zh-CN"/>
              </w:rPr>
            </w:pPr>
            <w:r>
              <w:rPr>
                <w:rFonts w:hint="eastAsia" w:ascii="宋体" w:hAnsi="宋体"/>
                <w:bCs/>
                <w:color w:val="auto"/>
                <w:szCs w:val="21"/>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r>
              <w:rPr>
                <w:rFonts w:hint="eastAsia" w:ascii="宋体" w:hAnsi="宋体"/>
                <w:bCs/>
                <w:color w:val="auto"/>
                <w:szCs w:val="21"/>
              </w:rPr>
              <w:t>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Cs w:val="21"/>
              </w:rPr>
            </w:pPr>
            <w:r>
              <w:rPr>
                <w:rFonts w:hint="eastAsia" w:hAnsi="宋体"/>
                <w:color w:val="auto"/>
                <w:szCs w:val="21"/>
                <w:lang w:val="en-US" w:eastAsia="zh-CN"/>
              </w:rPr>
              <w:t>应用服务器</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Cs w:val="21"/>
              </w:rPr>
            </w:pPr>
            <w:r>
              <w:rPr>
                <w:rFonts w:hAnsi="宋体"/>
                <w:color w:val="auto"/>
                <w:szCs w:val="21"/>
              </w:rPr>
              <w:t>1</w:t>
            </w:r>
          </w:p>
        </w:tc>
        <w:tc>
          <w:tcPr>
            <w:tcW w:w="3349" w:type="dxa"/>
            <w:vMerge w:val="restart"/>
            <w:tcBorders>
              <w:top w:val="single" w:color="auto" w:sz="4" w:space="0"/>
              <w:left w:val="single" w:color="auto" w:sz="4" w:space="0"/>
              <w:right w:val="single" w:color="auto" w:sz="4" w:space="0"/>
            </w:tcBorders>
            <w:vAlign w:val="center"/>
          </w:tcPr>
          <w:p>
            <w:pPr>
              <w:pStyle w:val="15"/>
              <w:spacing w:line="240" w:lineRule="auto"/>
              <w:ind w:firstLine="120"/>
              <w:rPr>
                <w:rFonts w:hint="eastAsia" w:ascii="宋体" w:hAnsi="宋体"/>
                <w:color w:val="auto"/>
                <w:spacing w:val="0"/>
                <w:kern w:val="2"/>
                <w:sz w:val="21"/>
                <w:szCs w:val="21"/>
                <w:lang w:val="en-US" w:eastAsia="zh-CN"/>
              </w:rPr>
            </w:pPr>
            <w:r>
              <w:rPr>
                <w:rFonts w:hint="eastAsia" w:ascii="宋体" w:hAnsi="宋体"/>
                <w:color w:val="auto"/>
                <w:spacing w:val="0"/>
                <w:kern w:val="2"/>
                <w:sz w:val="21"/>
                <w:szCs w:val="21"/>
                <w:lang w:val="en-US" w:eastAsia="zh-CN"/>
              </w:rPr>
              <w:t>人民币</w:t>
            </w:r>
            <w:r>
              <w:rPr>
                <w:rFonts w:hint="eastAsia" w:ascii="宋体" w:hAnsi="宋体"/>
                <w:color w:val="auto"/>
                <w:spacing w:val="0"/>
                <w:kern w:val="2"/>
                <w:sz w:val="21"/>
                <w:szCs w:val="21"/>
                <w:u w:val="single"/>
                <w:lang w:val="en-US" w:eastAsia="zh-CN"/>
              </w:rPr>
              <w:t xml:space="preserve"> 16 </w:t>
            </w:r>
            <w:r>
              <w:rPr>
                <w:rFonts w:hint="eastAsia" w:ascii="宋体" w:hAnsi="宋体"/>
                <w:color w:val="auto"/>
                <w:spacing w:val="0"/>
                <w:kern w:val="2"/>
                <w:sz w:val="21"/>
                <w:szCs w:val="21"/>
                <w:lang w:val="en-US" w:eastAsia="zh-CN"/>
              </w:rPr>
              <w:t>万元（含增值税）</w:t>
            </w:r>
          </w:p>
        </w:tc>
        <w:tc>
          <w:tcPr>
            <w:tcW w:w="1375" w:type="dxa"/>
            <w:vMerge w:val="restart"/>
            <w:tcBorders>
              <w:top w:val="single" w:color="auto" w:sz="4" w:space="0"/>
              <w:left w:val="single" w:color="auto" w:sz="4" w:space="0"/>
              <w:right w:val="single" w:color="auto" w:sz="4" w:space="0"/>
            </w:tcBorders>
            <w:vAlign w:val="center"/>
          </w:tcPr>
          <w:p>
            <w:pPr>
              <w:jc w:val="both"/>
              <w:rPr>
                <w:rFonts w:hint="eastAsia" w:ascii="宋体" w:hAnsi="宋体"/>
                <w:bCs/>
                <w:color w:val="auto"/>
                <w:szCs w:val="21"/>
              </w:rPr>
            </w:pPr>
            <w:r>
              <w:rPr>
                <w:rFonts w:hint="eastAsia" w:ascii="宋体" w:hAnsi="宋体" w:eastAsia="宋体" w:cs="Times New Roman"/>
                <w:snapToGrid w:val="0"/>
                <w:color w:val="auto"/>
                <w:spacing w:val="0"/>
                <w:kern w:val="2"/>
                <w:sz w:val="21"/>
                <w:szCs w:val="21"/>
                <w:lang w:val="zh-CN" w:eastAsia="zh-CN" w:bidi="ar-SA"/>
              </w:rPr>
              <w:t>合同签订之日起</w:t>
            </w:r>
            <w:r>
              <w:rPr>
                <w:rFonts w:hint="eastAsia" w:ascii="宋体" w:hAnsi="宋体" w:eastAsia="宋体" w:cs="Times New Roman"/>
                <w:snapToGrid w:val="0"/>
                <w:color w:val="auto"/>
                <w:spacing w:val="0"/>
                <w:kern w:val="2"/>
                <w:sz w:val="21"/>
                <w:szCs w:val="21"/>
                <w:lang w:val="en-US" w:eastAsia="zh-CN" w:bidi="ar-SA"/>
              </w:rPr>
              <w:t>30日历日</w:t>
            </w:r>
            <w:r>
              <w:rPr>
                <w:rFonts w:hint="eastAsia" w:ascii="宋体" w:hAnsi="宋体" w:eastAsia="宋体" w:cs="Times New Roman"/>
                <w:snapToGrid w:val="0"/>
                <w:color w:val="auto"/>
                <w:spacing w:val="0"/>
                <w:kern w:val="2"/>
                <w:sz w:val="21"/>
                <w:szCs w:val="21"/>
                <w:lang w:val="zh-CN" w:eastAsia="zh-CN" w:bidi="ar-SA"/>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color w:val="auto"/>
                <w:szCs w:val="21"/>
                <w:lang w:val="en-US" w:eastAsia="zh-CN"/>
              </w:rPr>
            </w:pPr>
            <w:r>
              <w:rPr>
                <w:rFonts w:hint="eastAsia" w:ascii="宋体" w:hAnsi="宋体"/>
                <w:bCs/>
                <w:color w:val="auto"/>
                <w:szCs w:val="21"/>
                <w:lang w:val="en-US" w:eastAsia="zh-CN"/>
              </w:rPr>
              <w:t>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Cs w:val="21"/>
                <w:lang w:val="en-US" w:eastAsia="zh-CN"/>
              </w:rPr>
            </w:pPr>
            <w:r>
              <w:rPr>
                <w:rFonts w:hint="eastAsia" w:hAnsi="宋体"/>
                <w:color w:val="auto"/>
                <w:szCs w:val="21"/>
                <w:lang w:val="en-US" w:eastAsia="zh-CN"/>
              </w:rPr>
              <w:t>数据存储设备</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olor w:val="auto"/>
                <w:szCs w:val="21"/>
                <w:lang w:val="en-US" w:eastAsia="zh-CN"/>
              </w:rPr>
            </w:pPr>
            <w:r>
              <w:rPr>
                <w:rFonts w:hint="eastAsia" w:hAnsi="宋体"/>
                <w:color w:val="auto"/>
                <w:szCs w:val="21"/>
                <w:lang w:val="en-US" w:eastAsia="zh-CN"/>
              </w:rPr>
              <w:t>1</w:t>
            </w:r>
          </w:p>
        </w:tc>
        <w:tc>
          <w:tcPr>
            <w:tcW w:w="3349" w:type="dxa"/>
            <w:vMerge w:val="continue"/>
            <w:tcBorders>
              <w:left w:val="single" w:color="auto" w:sz="4" w:space="0"/>
              <w:bottom w:val="single" w:color="auto" w:sz="4" w:space="0"/>
              <w:right w:val="single" w:color="auto" w:sz="4" w:space="0"/>
            </w:tcBorders>
            <w:vAlign w:val="center"/>
          </w:tcPr>
          <w:p>
            <w:pPr>
              <w:pStyle w:val="15"/>
              <w:spacing w:line="240" w:lineRule="auto"/>
              <w:ind w:firstLine="120"/>
              <w:rPr>
                <w:rFonts w:hint="eastAsia" w:ascii="宋体" w:hAnsi="宋体"/>
                <w:color w:val="auto"/>
                <w:spacing w:val="0"/>
                <w:kern w:val="2"/>
                <w:sz w:val="21"/>
                <w:szCs w:val="21"/>
                <w:lang w:val="en-US" w:eastAsia="zh-CN"/>
              </w:rPr>
            </w:pPr>
          </w:p>
        </w:tc>
        <w:tc>
          <w:tcPr>
            <w:tcW w:w="137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p>
        </w:tc>
      </w:tr>
    </w:tbl>
    <w:p>
      <w:pPr>
        <w:spacing w:line="360" w:lineRule="auto"/>
        <w:ind w:firstLine="630" w:firstLineChars="3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备注：</w:t>
      </w:r>
      <w:r>
        <w:rPr>
          <w:rFonts w:hint="eastAsia" w:ascii="宋体" w:hAnsi="宋体" w:cstheme="minorEastAsia"/>
          <w:color w:val="auto"/>
        </w:rPr>
        <w:t>产品详细技术参数及执行标准、规格及服务要求等详见</w:t>
      </w:r>
      <w:r>
        <w:rPr>
          <w:rFonts w:hint="eastAsia" w:ascii="宋体" w:hAnsi="宋体" w:cstheme="minorEastAsia"/>
          <w:color w:val="auto"/>
          <w:lang w:val="en-US" w:eastAsia="zh-CN"/>
        </w:rPr>
        <w:t xml:space="preserve"> </w:t>
      </w:r>
      <w:r>
        <w:rPr>
          <w:rFonts w:hint="eastAsia" w:asciiTheme="minorEastAsia" w:hAnsiTheme="minorEastAsia" w:eastAsiaTheme="minorEastAsia" w:cstheme="minorEastAsia"/>
          <w:bCs/>
          <w:color w:val="auto"/>
          <w:szCs w:val="20"/>
          <w:highlight w:val="none"/>
        </w:rPr>
        <w:t>第</w:t>
      </w:r>
      <w:r>
        <w:rPr>
          <w:rFonts w:hint="eastAsia" w:asciiTheme="minorEastAsia" w:hAnsiTheme="minorEastAsia" w:eastAsiaTheme="minorEastAsia" w:cstheme="minorEastAsia"/>
          <w:bCs/>
          <w:color w:val="auto"/>
          <w:szCs w:val="20"/>
          <w:highlight w:val="none"/>
          <w:lang w:eastAsia="zh-CN"/>
        </w:rPr>
        <w:t>三</w:t>
      </w:r>
      <w:r>
        <w:rPr>
          <w:rFonts w:hint="eastAsia" w:asciiTheme="minorEastAsia" w:hAnsiTheme="minorEastAsia" w:eastAsiaTheme="minorEastAsia" w:cstheme="minorEastAsia"/>
          <w:bCs/>
          <w:color w:val="auto"/>
          <w:szCs w:val="20"/>
          <w:highlight w:val="none"/>
        </w:rPr>
        <w:t>章 用户需求书</w:t>
      </w:r>
    </w:p>
    <w:p>
      <w:pPr>
        <w:numPr>
          <w:ilvl w:val="0"/>
          <w:numId w:val="3"/>
        </w:num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合格竞选人</w:t>
      </w:r>
      <w:r>
        <w:rPr>
          <w:rFonts w:hint="eastAsia" w:asciiTheme="minorEastAsia" w:hAnsiTheme="minorEastAsia" w:eastAsiaTheme="minorEastAsia" w:cstheme="minorEastAsia"/>
          <w:b/>
          <w:color w:val="auto"/>
          <w:szCs w:val="21"/>
          <w:highlight w:val="none"/>
        </w:rPr>
        <w:t>资格要求：</w:t>
      </w:r>
    </w:p>
    <w:p>
      <w:pPr>
        <w:numPr>
          <w:ilvl w:val="0"/>
          <w:numId w:val="0"/>
        </w:numPr>
        <w:spacing w:line="360" w:lineRule="auto"/>
        <w:ind w:left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竞选人应具备《中华人民共和国政府采购法》第二十二条规定的条件，提供以下材料：</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有效的企业法人营业执照（或事业法人登记证）或者其他组织的营业执照复印件。</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响应截止前六个月内任意一个月缴纳税收的凭据证明材料复印件；如依法免税的，应提供相应文件证明其依法免税。</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竞选人必须具有相关行业项目业绩（须提供合同要点和验收报告复印件加盖竞选人公章）。</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竞选人必须具有良好的商业经营信誉。须提供参加竞选活动前3年内在经营活动中没有重大违法记录的书面声明。</w:t>
      </w:r>
    </w:p>
    <w:p>
      <w:pPr>
        <w:numPr>
          <w:ilvl w:val="0"/>
          <w:numId w:val="4"/>
        </w:numPr>
        <w:spacing w:line="360" w:lineRule="auto"/>
        <w:ind w:left="425" w:leftChars="0" w:hanging="425"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本项目不接受联合体参与竞选。</w:t>
      </w:r>
    </w:p>
    <w:p>
      <w:pPr>
        <w:numPr>
          <w:ilvl w:val="0"/>
          <w:numId w:val="5"/>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递交响应文件要求</w:t>
      </w:r>
      <w:r>
        <w:rPr>
          <w:rFonts w:hint="eastAsia" w:asciiTheme="minorEastAsia" w:hAnsiTheme="minorEastAsia" w:eastAsiaTheme="minorEastAsia" w:cstheme="minorEastAsia"/>
          <w:b/>
          <w:bCs/>
          <w:color w:val="auto"/>
        </w:rPr>
        <w:t>：</w:t>
      </w:r>
    </w:p>
    <w:p>
      <w:pPr>
        <w:numPr>
          <w:ilvl w:val="0"/>
          <w:numId w:val="6"/>
        </w:numPr>
        <w:spacing w:line="360" w:lineRule="auto"/>
        <w:ind w:left="425" w:leftChars="0" w:hanging="425" w:firstLineChars="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递交响应文件截止时间：201</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lang w:eastAsia="zh-CN"/>
        </w:rPr>
        <w:t>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月</w:t>
      </w:r>
      <w:r>
        <w:rPr>
          <w:rFonts w:hint="eastAsia" w:asciiTheme="minorEastAsia" w:hAnsiTheme="minorEastAsia" w:eastAsiaTheme="minorEastAsia" w:cstheme="minorEastAsia"/>
          <w:color w:val="auto"/>
          <w:szCs w:val="21"/>
          <w:highlight w:val="none"/>
          <w:lang w:val="en-US" w:eastAsia="zh-CN"/>
        </w:rPr>
        <w:t>25</w:t>
      </w:r>
      <w:r>
        <w:rPr>
          <w:rFonts w:hint="eastAsia" w:asciiTheme="minorEastAsia" w:hAnsiTheme="minorEastAsia" w:eastAsiaTheme="minorEastAsia" w:cstheme="minorEastAsia"/>
          <w:color w:val="auto"/>
          <w:szCs w:val="21"/>
          <w:highlight w:val="none"/>
          <w:lang w:eastAsia="zh-CN"/>
        </w:rPr>
        <w:t>日 17:00 （北京时间）；送达地点：广州市番禺区石楼镇潮田工业区珠江路1-2号综合楼</w:t>
      </w:r>
      <w:r>
        <w:rPr>
          <w:rFonts w:hint="eastAsia" w:asciiTheme="minorEastAsia" w:hAnsiTheme="minorEastAsia" w:eastAsiaTheme="minorEastAsia" w:cstheme="minorEastAsia"/>
          <w:color w:val="auto"/>
          <w:szCs w:val="21"/>
          <w:highlight w:val="none"/>
          <w:lang w:val="en-US" w:eastAsia="zh-CN"/>
        </w:rPr>
        <w:t>307室</w:t>
      </w:r>
      <w:r>
        <w:rPr>
          <w:rFonts w:hint="eastAsia" w:asciiTheme="minorEastAsia" w:hAnsiTheme="minorEastAsia" w:eastAsiaTheme="minorEastAsia" w:cstheme="minorEastAsia"/>
          <w:color w:val="auto"/>
          <w:szCs w:val="21"/>
          <w:highlight w:val="none"/>
          <w:lang w:eastAsia="zh-CN"/>
        </w:rPr>
        <w:t>。</w:t>
      </w:r>
    </w:p>
    <w:p>
      <w:pPr>
        <w:numPr>
          <w:ilvl w:val="0"/>
          <w:numId w:val="6"/>
        </w:numPr>
        <w:spacing w:line="360" w:lineRule="auto"/>
        <w:ind w:left="425" w:leftChars="0" w:hanging="425"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w:t>
      </w:r>
      <w:r>
        <w:rPr>
          <w:rFonts w:hint="eastAsia" w:asciiTheme="minorEastAsia" w:hAnsiTheme="minorEastAsia" w:eastAsiaTheme="minorEastAsia" w:cstheme="minorEastAsia"/>
          <w:color w:val="auto"/>
          <w:szCs w:val="21"/>
          <w:highlight w:val="none"/>
          <w:lang w:eastAsia="zh-CN"/>
        </w:rPr>
        <w:t>时间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2019年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月</w:t>
      </w:r>
      <w:r>
        <w:rPr>
          <w:rFonts w:hint="eastAsia" w:asciiTheme="minorEastAsia" w:hAnsiTheme="minorEastAsia" w:eastAsiaTheme="minorEastAsia" w:cstheme="minorEastAsia"/>
          <w:color w:val="auto"/>
          <w:szCs w:val="21"/>
          <w:highlight w:val="none"/>
          <w:lang w:val="en-US" w:eastAsia="zh-CN"/>
        </w:rPr>
        <w:t>28</w:t>
      </w:r>
      <w:r>
        <w:rPr>
          <w:rFonts w:hint="eastAsia" w:asciiTheme="minorEastAsia" w:hAnsiTheme="minorEastAsia" w:eastAsiaTheme="minorEastAsia" w:cstheme="minorEastAsia"/>
          <w:color w:val="auto"/>
          <w:szCs w:val="21"/>
          <w:highlight w:val="none"/>
          <w:lang w:eastAsia="zh-CN"/>
        </w:rPr>
        <w:t>日</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lang w:eastAsia="zh-CN"/>
        </w:rPr>
        <w:t>时00分。</w:t>
      </w:r>
    </w:p>
    <w:p>
      <w:pPr>
        <w:numPr>
          <w:ilvl w:val="0"/>
          <w:numId w:val="6"/>
        </w:numPr>
        <w:spacing w:line="360" w:lineRule="auto"/>
        <w:ind w:left="425" w:leftChars="0" w:hanging="425"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评审地点：</w:t>
      </w:r>
      <w:r>
        <w:rPr>
          <w:rFonts w:hint="eastAsia" w:asciiTheme="minorEastAsia" w:hAnsiTheme="minorEastAsia" w:eastAsiaTheme="minorEastAsia" w:cstheme="minorEastAsia"/>
          <w:color w:val="auto"/>
          <w:szCs w:val="21"/>
          <w:highlight w:val="none"/>
        </w:rPr>
        <w:t>广州市番禺区石楼镇潮田工业区珠江路1-2综合楼615室</w:t>
      </w:r>
    </w:p>
    <w:p>
      <w:pPr>
        <w:numPr>
          <w:ilvl w:val="0"/>
          <w:numId w:val="6"/>
        </w:numPr>
        <w:spacing w:line="360" w:lineRule="auto"/>
        <w:ind w:left="425" w:leftChars="0" w:hanging="425"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本公告期限：自发布之日起至2019年</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25</w:t>
      </w:r>
      <w:r>
        <w:rPr>
          <w:rFonts w:hint="eastAsia" w:asciiTheme="minorEastAsia" w:hAnsiTheme="minorEastAsia" w:eastAsiaTheme="minorEastAsia" w:cstheme="minorEastAsia"/>
          <w:color w:val="auto"/>
          <w:szCs w:val="21"/>
          <w:highlight w:val="none"/>
        </w:rPr>
        <w:t>日17时00分止。</w:t>
      </w:r>
    </w:p>
    <w:p>
      <w:pPr>
        <w:numPr>
          <w:ilvl w:val="0"/>
          <w:numId w:val="6"/>
        </w:numPr>
        <w:spacing w:line="360" w:lineRule="auto"/>
        <w:ind w:left="425" w:leftChars="0" w:hanging="425"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文件份数：正本一份，副本</w:t>
      </w:r>
      <w:r>
        <w:rPr>
          <w:rFonts w:hint="eastAsia" w:asciiTheme="minorEastAsia" w:hAnsiTheme="minorEastAsia" w:eastAsiaTheme="minorEastAsia" w:cstheme="minorEastAsia"/>
          <w:color w:val="auto"/>
          <w:szCs w:val="21"/>
          <w:highlight w:val="none"/>
          <w:lang w:eastAsia="zh-CN"/>
        </w:rPr>
        <w:t>二</w:t>
      </w:r>
      <w:r>
        <w:rPr>
          <w:rFonts w:hint="eastAsia" w:asciiTheme="minorEastAsia" w:hAnsiTheme="minorEastAsia" w:eastAsiaTheme="minorEastAsia" w:cstheme="minorEastAsia"/>
          <w:color w:val="auto"/>
          <w:szCs w:val="21"/>
          <w:highlight w:val="none"/>
        </w:rPr>
        <w:t>份</w:t>
      </w:r>
      <w:r>
        <w:rPr>
          <w:rFonts w:hint="eastAsia" w:asciiTheme="minorEastAsia" w:hAnsiTheme="minorEastAsia" w:eastAsiaTheme="minorEastAsia" w:cstheme="minorEastAsia"/>
          <w:color w:val="auto"/>
          <w:szCs w:val="21"/>
          <w:highlight w:val="none"/>
          <w:lang w:eastAsia="zh-CN"/>
        </w:rPr>
        <w:t>，电子文件一份</w:t>
      </w:r>
      <w:r>
        <w:rPr>
          <w:rFonts w:hint="eastAsia" w:asciiTheme="minorEastAsia" w:hAnsiTheme="minorEastAsia" w:eastAsiaTheme="minorEastAsia" w:cstheme="minorEastAsia"/>
          <w:color w:val="auto"/>
          <w:szCs w:val="21"/>
          <w:highlight w:val="none"/>
        </w:rPr>
        <w:t>。不论中选与否，本次竞选不退回</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w:t>
      </w:r>
    </w:p>
    <w:p>
      <w:pPr>
        <w:numPr>
          <w:ilvl w:val="0"/>
          <w:numId w:val="5"/>
        </w:numPr>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采购人</w:t>
      </w:r>
      <w:r>
        <w:rPr>
          <w:rFonts w:hint="eastAsia" w:asciiTheme="minorEastAsia" w:hAnsiTheme="minorEastAsia" w:eastAsiaTheme="minorEastAsia" w:cstheme="minorEastAsia"/>
          <w:b/>
          <w:bCs/>
          <w:color w:val="auto"/>
        </w:rPr>
        <w:t>不收取竞选文件费用，也不承担</w:t>
      </w:r>
      <w:r>
        <w:rPr>
          <w:rFonts w:hint="eastAsia" w:asciiTheme="minorEastAsia" w:hAnsiTheme="minorEastAsia" w:eastAsiaTheme="minorEastAsia" w:cstheme="minorEastAsia"/>
          <w:b/>
          <w:bCs/>
          <w:color w:val="auto"/>
          <w:lang w:eastAsia="zh-CN"/>
        </w:rPr>
        <w:t>竞选人</w:t>
      </w:r>
      <w:r>
        <w:rPr>
          <w:rFonts w:hint="eastAsia" w:asciiTheme="minorEastAsia" w:hAnsiTheme="minorEastAsia" w:eastAsiaTheme="minorEastAsia" w:cstheme="minorEastAsia"/>
          <w:b/>
          <w:bCs/>
          <w:color w:val="auto"/>
        </w:rPr>
        <w:t>准备竞选文件和递交竞选文件以及参加本次竞选活动所发生的任何成本或费用。本项目对</w:t>
      </w:r>
      <w:r>
        <w:rPr>
          <w:rFonts w:hint="eastAsia" w:asciiTheme="minorEastAsia" w:hAnsiTheme="minorEastAsia" w:eastAsiaTheme="minorEastAsia" w:cstheme="minorEastAsia"/>
          <w:b/>
          <w:bCs/>
          <w:color w:val="auto"/>
          <w:lang w:eastAsia="zh-CN"/>
        </w:rPr>
        <w:t>竞选人</w:t>
      </w:r>
      <w:r>
        <w:rPr>
          <w:rFonts w:hint="eastAsia" w:asciiTheme="minorEastAsia" w:hAnsiTheme="minorEastAsia" w:eastAsiaTheme="minorEastAsia" w:cstheme="minorEastAsia"/>
          <w:b/>
          <w:bCs/>
          <w:color w:val="auto"/>
        </w:rPr>
        <w:t>的资格</w:t>
      </w:r>
      <w:r>
        <w:rPr>
          <w:rFonts w:hint="eastAsia" w:asciiTheme="minorEastAsia" w:hAnsiTheme="minorEastAsia" w:eastAsiaTheme="minorEastAsia" w:cstheme="minorEastAsia"/>
          <w:b/>
          <w:bCs/>
          <w:color w:val="auto"/>
          <w:lang w:eastAsia="zh-CN"/>
        </w:rPr>
        <w:t>性和符合性</w:t>
      </w:r>
      <w:r>
        <w:rPr>
          <w:rFonts w:hint="eastAsia" w:asciiTheme="minorEastAsia" w:hAnsiTheme="minorEastAsia" w:eastAsiaTheme="minorEastAsia" w:cstheme="minorEastAsia"/>
          <w:b/>
          <w:bCs/>
          <w:color w:val="auto"/>
        </w:rPr>
        <w:t>审查</w:t>
      </w:r>
      <w:r>
        <w:rPr>
          <w:rFonts w:hint="eastAsia" w:asciiTheme="minorEastAsia" w:hAnsiTheme="minorEastAsia" w:eastAsiaTheme="minorEastAsia" w:cstheme="minorEastAsia"/>
          <w:b/>
          <w:bCs/>
          <w:color w:val="auto"/>
          <w:lang w:eastAsia="zh-CN"/>
        </w:rPr>
        <w:t>将在竞选评审环节中进行</w:t>
      </w:r>
      <w:r>
        <w:rPr>
          <w:rFonts w:hint="eastAsia" w:asciiTheme="minorEastAsia" w:hAnsiTheme="minorEastAsia" w:eastAsiaTheme="minorEastAsia" w:cstheme="minorEastAsia"/>
          <w:b/>
          <w:bCs/>
          <w:color w:val="auto"/>
        </w:rPr>
        <w:t>。本次竞选解释权归广检集团</w:t>
      </w:r>
      <w:r>
        <w:rPr>
          <w:rFonts w:hint="eastAsia" w:asciiTheme="minorEastAsia" w:hAnsiTheme="minorEastAsia" w:eastAsiaTheme="minorEastAsia" w:cstheme="minorEastAsia"/>
          <w:b/>
          <w:bCs/>
          <w:color w:val="auto"/>
          <w:lang w:val="en-US" w:eastAsia="zh-CN"/>
        </w:rPr>
        <w:t>科学研究院</w:t>
      </w:r>
      <w:r>
        <w:rPr>
          <w:rFonts w:hint="eastAsia" w:asciiTheme="minorEastAsia" w:hAnsiTheme="minorEastAsia" w:eastAsiaTheme="minorEastAsia" w:cstheme="minorEastAsia"/>
          <w:b/>
          <w:bCs/>
          <w:color w:val="auto"/>
        </w:rPr>
        <w:t>所有。</w:t>
      </w:r>
    </w:p>
    <w:p>
      <w:pPr>
        <w:numPr>
          <w:ilvl w:val="0"/>
          <w:numId w:val="5"/>
        </w:numPr>
        <w:spacing w:line="360" w:lineRule="auto"/>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采购人</w:t>
      </w:r>
      <w:r>
        <w:rPr>
          <w:rFonts w:hint="eastAsia" w:asciiTheme="minorEastAsia" w:hAnsiTheme="minorEastAsia" w:eastAsiaTheme="minorEastAsia" w:cstheme="minorEastAsia"/>
          <w:b/>
          <w:bCs/>
          <w:color w:val="auto"/>
        </w:rPr>
        <w:t>的名称、地址和联系方式</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eastAsia="zh-CN"/>
        </w:rPr>
        <w:t>采购人</w:t>
      </w:r>
      <w:r>
        <w:rPr>
          <w:rFonts w:hint="eastAsia" w:asciiTheme="minorEastAsia" w:hAnsiTheme="minorEastAsia" w:eastAsiaTheme="minorEastAsia" w:cstheme="minorEastAsia"/>
          <w:color w:val="auto"/>
          <w:szCs w:val="21"/>
        </w:rPr>
        <w:t>名称：广州检验检测认证集团有限公司</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联系电话：</w:t>
      </w:r>
      <w:r>
        <w:rPr>
          <w:rFonts w:hint="eastAsia" w:asciiTheme="minorEastAsia" w:hAnsiTheme="minorEastAsia" w:eastAsiaTheme="minorEastAsia" w:cstheme="minorEastAsia"/>
          <w:color w:val="auto"/>
          <w:szCs w:val="21"/>
          <w:lang w:val="en-US" w:eastAsia="zh-CN"/>
        </w:rPr>
        <w:t>020-31061306</w:t>
      </w:r>
      <w:r>
        <w:rPr>
          <w:rFonts w:hint="eastAsia" w:asciiTheme="minorEastAsia" w:hAnsiTheme="minorEastAsia" w:eastAsiaTheme="minorEastAsia" w:cstheme="minorEastAsia"/>
          <w:color w:val="auto"/>
          <w:szCs w:val="21"/>
        </w:rPr>
        <w:t xml:space="preserve">      </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联系人</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姚</w:t>
      </w:r>
      <w:r>
        <w:rPr>
          <w:rFonts w:hint="eastAsia" w:asciiTheme="minorEastAsia" w:hAnsiTheme="minorEastAsia" w:eastAsiaTheme="minorEastAsia" w:cstheme="minorEastAsia"/>
          <w:color w:val="auto"/>
          <w:szCs w:val="21"/>
          <w:highlight w:val="none"/>
          <w:lang w:eastAsia="zh-CN"/>
        </w:rPr>
        <w:t>工</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邮箱：</w:t>
      </w:r>
      <w:r>
        <w:rPr>
          <w:rFonts w:hint="eastAsia" w:asciiTheme="minorEastAsia" w:hAnsiTheme="minorEastAsia" w:eastAsiaTheme="minorEastAsia" w:cstheme="minorEastAsia"/>
          <w:color w:val="auto"/>
          <w:szCs w:val="21"/>
          <w:highlight w:val="none"/>
          <w:u w:val="single"/>
          <w:lang w:val="en-US" w:eastAsia="zh-CN"/>
        </w:rPr>
        <w:t>yaodanling@cngttc.cn</w:t>
      </w:r>
    </w:p>
    <w:p>
      <w:pPr>
        <w:spacing w:line="360" w:lineRule="auto"/>
        <w:ind w:firstLine="420"/>
        <w:rPr>
          <w:rFonts w:hint="eastAsia" w:asciiTheme="minorEastAsia" w:hAnsiTheme="minorEastAsia" w:eastAsiaTheme="minorEastAsia" w:cstheme="minorEastAsia"/>
          <w:color w:val="auto"/>
          <w:szCs w:val="18"/>
        </w:rPr>
      </w:pPr>
      <w:r>
        <w:rPr>
          <w:rFonts w:hint="eastAsia" w:asciiTheme="minorEastAsia" w:hAnsiTheme="minorEastAsia" w:eastAsiaTheme="minorEastAsia" w:cstheme="minorEastAsia"/>
          <w:color w:val="auto"/>
          <w:szCs w:val="21"/>
          <w:highlight w:val="none"/>
        </w:rPr>
        <w:t>地址： 广州市番禺区石楼镇潮田工业区珠江路1-2号综合楼</w:t>
      </w:r>
      <w:r>
        <w:rPr>
          <w:rFonts w:hint="eastAsia" w:asciiTheme="minorEastAsia" w:hAnsiTheme="minorEastAsia" w:eastAsiaTheme="minorEastAsia" w:cstheme="minorEastAsia"/>
          <w:color w:val="auto"/>
          <w:szCs w:val="21"/>
          <w:highlight w:val="none"/>
          <w:lang w:val="en-US" w:eastAsia="zh-CN"/>
        </w:rPr>
        <w:t>307室</w:t>
      </w:r>
      <w:r>
        <w:rPr>
          <w:rFonts w:hint="eastAsia" w:asciiTheme="minorEastAsia" w:hAnsiTheme="minorEastAsia" w:eastAsiaTheme="minorEastAsia" w:cstheme="minorEastAsia"/>
          <w:color w:val="auto"/>
          <w:szCs w:val="18"/>
        </w:rPr>
        <w:t>　</w:t>
      </w:r>
    </w:p>
    <w:p>
      <w:pPr>
        <w:spacing w:line="360" w:lineRule="auto"/>
        <w:ind w:firstLine="420"/>
        <w:rPr>
          <w:rFonts w:hint="eastAsia" w:asciiTheme="minorEastAsia" w:hAnsiTheme="minorEastAsia" w:eastAsiaTheme="minorEastAsia" w:cstheme="minorEastAsia"/>
          <w:color w:val="auto"/>
          <w:szCs w:val="18"/>
        </w:rPr>
      </w:pPr>
    </w:p>
    <w:p>
      <w:pPr>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18"/>
        </w:rPr>
        <w:t>　</w:t>
      </w:r>
      <w:r>
        <w:rPr>
          <w:rFonts w:hint="eastAsia" w:asciiTheme="minorEastAsia" w:hAnsiTheme="minorEastAsia" w:eastAsiaTheme="minorEastAsia" w:cstheme="minorEastAsia"/>
          <w:color w:val="auto"/>
          <w:szCs w:val="21"/>
          <w:lang w:val="zh-CN"/>
        </w:rPr>
        <w:t>　　　　　　　　</w:t>
      </w:r>
      <w:r>
        <w:rPr>
          <w:rFonts w:hint="eastAsia" w:asciiTheme="minorEastAsia" w:hAnsiTheme="minorEastAsia" w:eastAsiaTheme="minorEastAsia" w:cstheme="minorEastAsia"/>
          <w:color w:val="auto"/>
          <w:szCs w:val="21"/>
        </w:rPr>
        <w:t xml:space="preserve">  </w:t>
      </w:r>
    </w:p>
    <w:p>
      <w:pPr>
        <w:snapToGrid w:val="0"/>
        <w:spacing w:line="360" w:lineRule="auto"/>
        <w:ind w:firstLine="435"/>
        <w:jc w:val="right"/>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广检集团</w:t>
      </w:r>
      <w:r>
        <w:rPr>
          <w:rFonts w:hint="eastAsia" w:asciiTheme="minorEastAsia" w:hAnsiTheme="minorEastAsia" w:eastAsiaTheme="minorEastAsia" w:cstheme="minorEastAsia"/>
          <w:b/>
          <w:color w:val="auto"/>
          <w:lang w:val="en-US" w:eastAsia="zh-CN"/>
        </w:rPr>
        <w:t>科学</w:t>
      </w:r>
      <w:r>
        <w:rPr>
          <w:rFonts w:hint="eastAsia" w:asciiTheme="minorEastAsia" w:hAnsiTheme="minorEastAsia" w:eastAsiaTheme="minorEastAsia" w:cstheme="minorEastAsia"/>
          <w:b/>
          <w:color w:val="auto"/>
        </w:rPr>
        <w:t>研究院</w:t>
      </w:r>
    </w:p>
    <w:p>
      <w:pPr>
        <w:wordWrap w:val="0"/>
        <w:snapToGrid w:val="0"/>
        <w:spacing w:line="360" w:lineRule="auto"/>
        <w:ind w:firstLine="435"/>
        <w:jc w:val="right"/>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2019 年</w:t>
      </w:r>
      <w:r>
        <w:rPr>
          <w:rFonts w:hint="eastAsia" w:asciiTheme="minorEastAsia" w:hAnsiTheme="minorEastAsia" w:eastAsiaTheme="minorEastAsia" w:cstheme="minorEastAsia"/>
          <w:b/>
          <w:color w:val="auto"/>
          <w:lang w:val="en-US" w:eastAsia="zh-CN"/>
        </w:rPr>
        <w:t>10</w:t>
      </w:r>
      <w:r>
        <w:rPr>
          <w:rFonts w:hint="eastAsia" w:asciiTheme="minorEastAsia" w:hAnsiTheme="minorEastAsia" w:eastAsiaTheme="minorEastAsia" w:cstheme="minorEastAsia"/>
          <w:b/>
          <w:color w:val="auto"/>
        </w:rPr>
        <w:t xml:space="preserve">月 </w:t>
      </w:r>
    </w:p>
    <w:p>
      <w:pPr>
        <w:wordWrap w:val="0"/>
        <w:snapToGrid w:val="0"/>
        <w:spacing w:line="360" w:lineRule="auto"/>
        <w:ind w:firstLine="435"/>
        <w:jc w:val="right"/>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br w:type="page"/>
      </w:r>
    </w:p>
    <w:p>
      <w:pPr>
        <w:wordWrap w:val="0"/>
        <w:snapToGrid w:val="0"/>
        <w:spacing w:line="360" w:lineRule="auto"/>
        <w:ind w:firstLine="435"/>
        <w:jc w:val="right"/>
        <w:rPr>
          <w:rFonts w:hint="eastAsia" w:asciiTheme="minorEastAsia" w:hAnsiTheme="minorEastAsia" w:eastAsiaTheme="minorEastAsia" w:cstheme="minorEastAsia"/>
          <w:b/>
          <w:color w:val="auto"/>
        </w:rPr>
      </w:pPr>
    </w:p>
    <w:p>
      <w:pPr>
        <w:numPr>
          <w:ilvl w:val="0"/>
          <w:numId w:val="2"/>
        </w:numPr>
        <w:adjustRightInd w:val="0"/>
        <w:snapToGrid w:val="0"/>
        <w:spacing w:beforeLines="50" w:afterLines="50" w:line="360" w:lineRule="auto"/>
        <w:ind w:left="0" w:leftChars="0" w:firstLine="0" w:firstLineChars="0"/>
        <w:jc w:val="center"/>
        <w:outlineLvl w:val="0"/>
        <w:rPr>
          <w:rFonts w:hint="eastAsia" w:asciiTheme="minorEastAsia" w:hAnsiTheme="minorEastAsia" w:eastAsiaTheme="minorEastAsia" w:cstheme="minorEastAsia"/>
          <w:b/>
          <w:bCs/>
          <w:color w:val="auto"/>
          <w:sz w:val="28"/>
          <w:szCs w:val="28"/>
        </w:rPr>
      </w:pPr>
      <w:bookmarkStart w:id="4" w:name="_Toc28079"/>
      <w:bookmarkStart w:id="5" w:name="_Toc24012_WPSOffice_Level1"/>
      <w:bookmarkStart w:id="6" w:name="_Toc23714"/>
      <w:bookmarkStart w:id="7" w:name="_Toc16393"/>
      <w:bookmarkStart w:id="8" w:name="_Toc438222735"/>
      <w:bookmarkStart w:id="9" w:name="_Toc433648008"/>
      <w:bookmarkStart w:id="10" w:name="_Toc5551_WPSOffice_Level1"/>
      <w:r>
        <w:rPr>
          <w:rFonts w:hint="eastAsia" w:asciiTheme="minorEastAsia" w:hAnsiTheme="minorEastAsia" w:eastAsiaTheme="minorEastAsia" w:cstheme="minorEastAsia"/>
          <w:b/>
          <w:bCs/>
          <w:color w:val="auto"/>
          <w:sz w:val="28"/>
          <w:szCs w:val="28"/>
          <w:lang w:eastAsia="zh-CN"/>
        </w:rPr>
        <w:t>竞选人</w:t>
      </w:r>
      <w:r>
        <w:rPr>
          <w:rFonts w:hint="eastAsia" w:asciiTheme="minorEastAsia" w:hAnsiTheme="minorEastAsia" w:eastAsiaTheme="minorEastAsia" w:cstheme="minorEastAsia"/>
          <w:b/>
          <w:bCs/>
          <w:color w:val="auto"/>
          <w:sz w:val="28"/>
          <w:szCs w:val="28"/>
        </w:rPr>
        <w:t>须知</w:t>
      </w:r>
      <w:bookmarkEnd w:id="4"/>
      <w:bookmarkEnd w:id="5"/>
      <w:bookmarkEnd w:id="6"/>
      <w:bookmarkEnd w:id="7"/>
    </w:p>
    <w:p>
      <w:pPr>
        <w:pStyle w:val="5"/>
        <w:numPr>
          <w:ilvl w:val="0"/>
          <w:numId w:val="7"/>
        </w:numPr>
        <w:snapToGrid w:val="0"/>
        <w:spacing w:before="120" w:line="360" w:lineRule="auto"/>
        <w:ind w:left="0" w:leftChars="0" w:firstLine="0" w:firstLineChars="0"/>
        <w:outlineLvl w:val="1"/>
        <w:rPr>
          <w:rFonts w:hint="eastAsia" w:asciiTheme="minorEastAsia" w:hAnsiTheme="minorEastAsia" w:eastAsiaTheme="minorEastAsia" w:cstheme="minorEastAsia"/>
          <w:b/>
          <w:color w:val="auto"/>
          <w:sz w:val="21"/>
          <w:szCs w:val="21"/>
        </w:rPr>
      </w:pPr>
      <w:bookmarkStart w:id="11" w:name="_Toc334797730"/>
      <w:bookmarkStart w:id="12" w:name="_Toc228899495"/>
      <w:bookmarkStart w:id="13" w:name="_Toc2341901"/>
      <w:bookmarkStart w:id="14" w:name="_Toc2341652"/>
      <w:bookmarkStart w:id="15" w:name="_Toc228644966"/>
      <w:bookmarkStart w:id="16" w:name="_Toc9495"/>
      <w:bookmarkStart w:id="17" w:name="_Toc238282329"/>
      <w:bookmarkStart w:id="18" w:name="_Toc2341693"/>
      <w:bookmarkStart w:id="19" w:name="_Toc49135195"/>
      <w:bookmarkStart w:id="20" w:name="_Toc223939092"/>
      <w:bookmarkStart w:id="21" w:name="_Toc533236374"/>
      <w:bookmarkStart w:id="22" w:name="_Toc30510"/>
      <w:bookmarkStart w:id="23" w:name="_Toc49082409"/>
      <w:bookmarkStart w:id="24" w:name="_Toc20071"/>
      <w:bookmarkStart w:id="25" w:name="_Toc2341268"/>
      <w:bookmarkStart w:id="26" w:name="_Toc224435714"/>
      <w:bookmarkStart w:id="27" w:name="_Toc225565941"/>
      <w:bookmarkStart w:id="28" w:name="_Toc185747578"/>
      <w:r>
        <w:rPr>
          <w:rFonts w:hint="eastAsia" w:asciiTheme="minorEastAsia" w:hAnsiTheme="minorEastAsia" w:eastAsiaTheme="minorEastAsia" w:cstheme="minorEastAsia"/>
          <w:b/>
          <w:color w:val="auto"/>
          <w:sz w:val="21"/>
          <w:szCs w:val="21"/>
        </w:rPr>
        <w:t>总体说明</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29" w:name="_Toc21828"/>
      <w:bookmarkStart w:id="30" w:name="_Toc14301"/>
      <w:bookmarkStart w:id="31" w:name="_Toc31345"/>
      <w:bookmarkStart w:id="32" w:name="_Toc2341694"/>
      <w:bookmarkStart w:id="33" w:name="_Toc2341269"/>
      <w:r>
        <w:rPr>
          <w:rFonts w:hint="eastAsia" w:asciiTheme="minorEastAsia" w:hAnsiTheme="minorEastAsia" w:eastAsiaTheme="minorEastAsia" w:cstheme="minorEastAsia"/>
          <w:b/>
          <w:color w:val="auto"/>
          <w:sz w:val="21"/>
          <w:szCs w:val="21"/>
        </w:rPr>
        <w:t>采购项目性质说明</w:t>
      </w:r>
      <w:bookmarkEnd w:id="29"/>
      <w:bookmarkEnd w:id="30"/>
      <w:bookmarkEnd w:id="31"/>
      <w:bookmarkEnd w:id="32"/>
      <w:bookmarkEnd w:id="33"/>
    </w:p>
    <w:p>
      <w:pPr>
        <w:numPr>
          <w:ilvl w:val="0"/>
          <w:numId w:val="0"/>
        </w:numPr>
        <w:spacing w:line="360" w:lineRule="auto"/>
        <w:ind w:leftChars="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本次采购项目属</w:t>
      </w:r>
      <w:r>
        <w:rPr>
          <w:rFonts w:hint="eastAsia" w:asciiTheme="minorEastAsia" w:hAnsiTheme="minorEastAsia" w:eastAsiaTheme="minorEastAsia" w:cstheme="minorEastAsia"/>
          <w:color w:val="auto"/>
          <w:sz w:val="21"/>
          <w:szCs w:val="21"/>
          <w:lang w:eastAsia="zh-CN"/>
        </w:rPr>
        <w:t>广州检验检测认证集团有限</w:t>
      </w:r>
      <w:r>
        <w:rPr>
          <w:rFonts w:hint="eastAsia" w:asciiTheme="minorEastAsia" w:hAnsiTheme="minorEastAsia" w:eastAsiaTheme="minorEastAsia" w:cstheme="minorEastAsia"/>
          <w:color w:val="auto"/>
          <w:sz w:val="21"/>
          <w:szCs w:val="21"/>
        </w:rPr>
        <w:t>公司</w:t>
      </w:r>
      <w:r>
        <w:rPr>
          <w:rFonts w:hint="eastAsia" w:asciiTheme="minorEastAsia" w:hAnsiTheme="minorEastAsia" w:eastAsiaTheme="minorEastAsia" w:cstheme="minorEastAsia"/>
          <w:color w:val="auto"/>
          <w:sz w:val="21"/>
          <w:szCs w:val="21"/>
          <w:lang w:val="en-US" w:eastAsia="zh-CN"/>
        </w:rPr>
        <w:t>公开</w:t>
      </w:r>
      <w:r>
        <w:rPr>
          <w:rFonts w:hint="eastAsia" w:asciiTheme="minorEastAsia" w:hAnsiTheme="minorEastAsia" w:eastAsiaTheme="minorEastAsia" w:cstheme="minorEastAsia"/>
          <w:color w:val="auto"/>
          <w:sz w:val="21"/>
          <w:szCs w:val="21"/>
        </w:rPr>
        <w:t>竞选采购。</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34" w:name="_Toc3703"/>
      <w:bookmarkStart w:id="35" w:name="_Toc3171"/>
      <w:bookmarkStart w:id="36" w:name="_Toc2341695"/>
      <w:bookmarkStart w:id="37" w:name="_Toc2341270"/>
      <w:bookmarkStart w:id="38" w:name="_Toc5153"/>
      <w:r>
        <w:rPr>
          <w:rFonts w:hint="eastAsia" w:asciiTheme="minorEastAsia" w:hAnsiTheme="minorEastAsia" w:eastAsiaTheme="minorEastAsia" w:cstheme="minorEastAsia"/>
          <w:b/>
          <w:color w:val="auto"/>
          <w:sz w:val="21"/>
          <w:szCs w:val="21"/>
        </w:rPr>
        <w:t>关于响应报价</w:t>
      </w:r>
      <w:bookmarkEnd w:id="34"/>
      <w:bookmarkEnd w:id="35"/>
      <w:bookmarkEnd w:id="36"/>
      <w:bookmarkEnd w:id="37"/>
      <w:bookmarkEnd w:id="38"/>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应根据采购文件中采购人需求的要求，对照响应报价表对全部内容进行响应报价，如有缺漏或超出最高限价，将导致响应无效。</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除非采购文件另有规</w:t>
      </w:r>
      <w:r>
        <w:rPr>
          <w:rFonts w:hint="eastAsia" w:asciiTheme="minorEastAsia" w:hAnsiTheme="minorEastAsia" w:eastAsiaTheme="minorEastAsia" w:cstheme="minorEastAsia"/>
          <w:b w:val="0"/>
          <w:bCs w:val="0"/>
          <w:color w:val="auto"/>
          <w:sz w:val="21"/>
          <w:szCs w:val="21"/>
          <w:highlight w:val="none"/>
        </w:rPr>
        <w:t>定，响应价不是唯一的或不是固定不变的响应文件将被作为无效响应而予以拒绝。</w:t>
      </w:r>
      <w:r>
        <w:rPr>
          <w:rFonts w:hint="eastAsia" w:asciiTheme="minorEastAsia" w:hAnsiTheme="minorEastAsia" w:eastAsiaTheme="minorEastAsia" w:cstheme="minorEastAsia"/>
          <w:b w:val="0"/>
          <w:bCs w:val="0"/>
          <w:color w:val="auto"/>
          <w:sz w:val="21"/>
          <w:szCs w:val="21"/>
          <w:highlight w:val="none"/>
          <w:lang w:eastAsia="zh-CN"/>
        </w:rPr>
        <w:t>竞选人</w:t>
      </w:r>
      <w:r>
        <w:rPr>
          <w:rFonts w:hint="eastAsia" w:asciiTheme="minorEastAsia" w:hAnsiTheme="minorEastAsia" w:eastAsiaTheme="minorEastAsia" w:cstheme="minorEastAsia"/>
          <w:b w:val="0"/>
          <w:bCs w:val="0"/>
          <w:color w:val="auto"/>
          <w:sz w:val="21"/>
          <w:szCs w:val="21"/>
          <w:highlight w:val="none"/>
        </w:rPr>
        <w:t>所报的响应价在响应有效期及合同</w:t>
      </w:r>
      <w:r>
        <w:rPr>
          <w:rFonts w:hint="eastAsia" w:asciiTheme="minorEastAsia" w:hAnsiTheme="minorEastAsia" w:eastAsiaTheme="minorEastAsia" w:cstheme="minorEastAsia"/>
          <w:b w:val="0"/>
          <w:bCs w:val="0"/>
          <w:color w:val="auto"/>
          <w:sz w:val="21"/>
          <w:szCs w:val="21"/>
        </w:rPr>
        <w:t>执行期间是固定不变的，</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不得以任何理由予以变更。</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不允许有备选方案，否则将被视为无效响应。</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不允许附加条件报价，否则将被视为无效响应。</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39" w:name="_Toc2341696"/>
      <w:bookmarkStart w:id="40" w:name="_Toc30057"/>
      <w:bookmarkStart w:id="41" w:name="_Toc2341271"/>
      <w:bookmarkStart w:id="42" w:name="_Toc430"/>
      <w:bookmarkStart w:id="43" w:name="_Toc24857"/>
      <w:r>
        <w:rPr>
          <w:rFonts w:hint="eastAsia" w:asciiTheme="minorEastAsia" w:hAnsiTheme="minorEastAsia" w:eastAsiaTheme="minorEastAsia" w:cstheme="minorEastAsia"/>
          <w:b/>
          <w:color w:val="auto"/>
          <w:sz w:val="21"/>
          <w:szCs w:val="21"/>
        </w:rPr>
        <w:t>适用范围</w:t>
      </w:r>
      <w:bookmarkEnd w:id="39"/>
      <w:bookmarkEnd w:id="40"/>
      <w:bookmarkEnd w:id="41"/>
      <w:bookmarkEnd w:id="42"/>
      <w:bookmarkEnd w:id="43"/>
    </w:p>
    <w:p>
      <w:pPr>
        <w:numPr>
          <w:ilvl w:val="0"/>
          <w:numId w:val="0"/>
        </w:numPr>
        <w:spacing w:line="360" w:lineRule="auto"/>
        <w:ind w:leftChars="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本采购文件仅适用于本采购文件响应邀请中所叙述的响应内容。</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44" w:name="_Toc9319"/>
      <w:bookmarkStart w:id="45" w:name="_Toc21814"/>
      <w:bookmarkStart w:id="46" w:name="_Toc2341272"/>
      <w:bookmarkStart w:id="47" w:name="_Toc2341697"/>
      <w:bookmarkStart w:id="48" w:name="_Toc24247"/>
      <w:r>
        <w:rPr>
          <w:rFonts w:hint="eastAsia" w:asciiTheme="minorEastAsia" w:hAnsiTheme="minorEastAsia" w:eastAsiaTheme="minorEastAsia" w:cstheme="minorEastAsia"/>
          <w:b/>
          <w:color w:val="auto"/>
          <w:sz w:val="21"/>
          <w:szCs w:val="21"/>
        </w:rPr>
        <w:t>评审方式</w:t>
      </w:r>
      <w:bookmarkEnd w:id="44"/>
      <w:bookmarkEnd w:id="45"/>
      <w:bookmarkEnd w:id="46"/>
      <w:bookmarkEnd w:id="47"/>
      <w:bookmarkEnd w:id="48"/>
    </w:p>
    <w:p>
      <w:pPr>
        <w:numPr>
          <w:ilvl w:val="0"/>
          <w:numId w:val="0"/>
        </w:numPr>
        <w:spacing w:line="360" w:lineRule="auto"/>
        <w:ind w:leftChars="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本项目评审采用综合评分法</w:t>
      </w:r>
      <w:r>
        <w:rPr>
          <w:rFonts w:hint="eastAsia" w:asciiTheme="minorEastAsia" w:hAnsiTheme="minorEastAsia" w:eastAsiaTheme="minorEastAsia" w:cstheme="minorEastAsia"/>
          <w:color w:val="auto"/>
          <w:sz w:val="21"/>
          <w:szCs w:val="21"/>
          <w:lang w:eastAsia="zh-CN"/>
        </w:rPr>
        <w:t>。</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49" w:name="_Toc2341273"/>
      <w:bookmarkStart w:id="50" w:name="_Toc2341698"/>
      <w:bookmarkStart w:id="51" w:name="_Toc16079"/>
      <w:bookmarkStart w:id="52" w:name="_Toc29886"/>
      <w:bookmarkStart w:id="53" w:name="_Toc25314"/>
      <w:r>
        <w:rPr>
          <w:rFonts w:hint="eastAsia" w:asciiTheme="minorEastAsia" w:hAnsiTheme="minorEastAsia" w:eastAsiaTheme="minorEastAsia" w:cstheme="minorEastAsia"/>
          <w:b/>
          <w:color w:val="auto"/>
          <w:sz w:val="21"/>
          <w:szCs w:val="21"/>
        </w:rPr>
        <w:t>合格的</w:t>
      </w:r>
      <w:bookmarkEnd w:id="49"/>
      <w:bookmarkEnd w:id="50"/>
      <w:r>
        <w:rPr>
          <w:rFonts w:hint="eastAsia" w:asciiTheme="minorEastAsia" w:hAnsiTheme="minorEastAsia" w:eastAsiaTheme="minorEastAsia" w:cstheme="minorEastAsia"/>
          <w:b/>
          <w:color w:val="auto"/>
          <w:sz w:val="21"/>
          <w:szCs w:val="21"/>
          <w:lang w:eastAsia="zh-CN"/>
        </w:rPr>
        <w:t>竞选人</w:t>
      </w:r>
      <w:bookmarkEnd w:id="51"/>
      <w:bookmarkEnd w:id="52"/>
      <w:bookmarkEnd w:id="53"/>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具有符合竞选邀请</w:t>
      </w:r>
      <w:r>
        <w:rPr>
          <w:rFonts w:hint="eastAsia" w:asciiTheme="minorEastAsia" w:hAnsiTheme="minorEastAsia" w:eastAsiaTheme="minorEastAsia" w:cstheme="minorEastAsia"/>
          <w:b w:val="0"/>
          <w:bCs w:val="0"/>
          <w:color w:val="auto"/>
          <w:sz w:val="21"/>
          <w:szCs w:val="21"/>
          <w:lang w:val="en-US" w:eastAsia="zh-CN"/>
        </w:rPr>
        <w:t>函</w:t>
      </w:r>
      <w:r>
        <w:rPr>
          <w:rFonts w:hint="eastAsia" w:asciiTheme="minorEastAsia" w:hAnsiTheme="minorEastAsia" w:eastAsiaTheme="minorEastAsia" w:cstheme="minorEastAsia"/>
          <w:b w:val="0"/>
          <w:bCs w:val="0"/>
          <w:color w:val="auto"/>
          <w:sz w:val="21"/>
          <w:szCs w:val="21"/>
        </w:rPr>
        <w:t>中合格</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资格要求；</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已在本项目报名的</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54" w:name="_Toc2341274"/>
      <w:bookmarkStart w:id="55" w:name="_Toc21041"/>
      <w:bookmarkStart w:id="56" w:name="_Toc4272"/>
      <w:bookmarkStart w:id="57" w:name="_Toc2341699"/>
      <w:bookmarkStart w:id="58" w:name="_Toc26672"/>
      <w:r>
        <w:rPr>
          <w:rFonts w:hint="eastAsia" w:asciiTheme="minorEastAsia" w:hAnsiTheme="minorEastAsia" w:eastAsiaTheme="minorEastAsia" w:cstheme="minorEastAsia"/>
          <w:b/>
          <w:color w:val="auto"/>
          <w:sz w:val="21"/>
          <w:szCs w:val="21"/>
        </w:rPr>
        <w:t>关于响应费用</w:t>
      </w:r>
      <w:bookmarkEnd w:id="54"/>
      <w:bookmarkEnd w:id="55"/>
      <w:bookmarkEnd w:id="56"/>
      <w:bookmarkEnd w:id="57"/>
      <w:bookmarkEnd w:id="58"/>
    </w:p>
    <w:p>
      <w:pPr>
        <w:numPr>
          <w:ilvl w:val="0"/>
          <w:numId w:val="0"/>
        </w:numPr>
        <w:spacing w:line="360" w:lineRule="auto"/>
        <w:ind w:leftChars="0"/>
        <w:outlineLvl w:val="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lang w:eastAsia="zh-CN"/>
        </w:rPr>
        <w:t>竞选人</w:t>
      </w:r>
      <w:r>
        <w:rPr>
          <w:rFonts w:hint="eastAsia" w:asciiTheme="minorEastAsia" w:hAnsiTheme="minorEastAsia" w:eastAsiaTheme="minorEastAsia" w:cstheme="minorEastAsia"/>
          <w:color w:val="auto"/>
          <w:sz w:val="21"/>
          <w:szCs w:val="21"/>
        </w:rPr>
        <w:t>应承担所有与其参加响应有关的全部费用。</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59" w:name="_Toc2341700"/>
      <w:bookmarkStart w:id="60" w:name="_Toc14327"/>
      <w:bookmarkStart w:id="61" w:name="_Toc9717"/>
      <w:bookmarkStart w:id="62" w:name="_Toc17076"/>
      <w:bookmarkStart w:id="63" w:name="_Toc2341275"/>
      <w:r>
        <w:rPr>
          <w:rFonts w:hint="eastAsia" w:asciiTheme="minorEastAsia" w:hAnsiTheme="minorEastAsia" w:eastAsiaTheme="minorEastAsia" w:cstheme="minorEastAsia"/>
          <w:b/>
          <w:color w:val="auto"/>
          <w:sz w:val="21"/>
          <w:szCs w:val="21"/>
        </w:rPr>
        <w:t>合格的货物和服务</w:t>
      </w:r>
      <w:bookmarkEnd w:id="59"/>
      <w:bookmarkEnd w:id="60"/>
      <w:bookmarkEnd w:id="61"/>
      <w:bookmarkEnd w:id="62"/>
      <w:bookmarkEnd w:id="63"/>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货物是指</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制造或组织符合采购文件要求的货物等。响应的货物必须是合法生产、合法来源的符合国家有关标准要求的货物，并满足邀请文件规定的规格、参数、质量、价格、有效期、售后服务等要求。</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服务是指</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须承担的</w:t>
      </w:r>
      <w:r>
        <w:rPr>
          <w:rFonts w:hint="eastAsia" w:asciiTheme="minorEastAsia" w:hAnsiTheme="minorEastAsia" w:eastAsiaTheme="minorEastAsia" w:cstheme="minorEastAsia"/>
          <w:b w:val="0"/>
          <w:bCs w:val="0"/>
          <w:color w:val="auto"/>
          <w:sz w:val="21"/>
          <w:szCs w:val="21"/>
          <w:lang w:eastAsia="zh-CN"/>
        </w:rPr>
        <w:t>软件开发</w:t>
      </w:r>
      <w:r>
        <w:rPr>
          <w:rFonts w:hint="eastAsia" w:asciiTheme="minorEastAsia" w:hAnsiTheme="minorEastAsia" w:eastAsiaTheme="minorEastAsia" w:cstheme="minorEastAsia"/>
          <w:b w:val="0"/>
          <w:bCs w:val="0"/>
          <w:color w:val="auto"/>
          <w:sz w:val="21"/>
          <w:szCs w:val="21"/>
        </w:rPr>
        <w:t>、安装、技术支持、培训以及邀请文件规定的其它伴随服务。</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采购人将拒绝接受不合格的货物和服务。</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64" w:name="_Toc2341276"/>
      <w:bookmarkStart w:id="65" w:name="_Toc2341701"/>
      <w:bookmarkStart w:id="66" w:name="_Toc31562"/>
      <w:bookmarkStart w:id="67" w:name="_Toc17820"/>
      <w:bookmarkStart w:id="68" w:name="_Toc958"/>
      <w:r>
        <w:rPr>
          <w:rFonts w:hint="eastAsia" w:asciiTheme="minorEastAsia" w:hAnsiTheme="minorEastAsia" w:eastAsiaTheme="minorEastAsia" w:cstheme="minorEastAsia"/>
          <w:b/>
          <w:color w:val="auto"/>
          <w:sz w:val="21"/>
          <w:szCs w:val="21"/>
        </w:rPr>
        <w:t>禁止事项</w:t>
      </w:r>
      <w:bookmarkEnd w:id="64"/>
      <w:bookmarkEnd w:id="65"/>
      <w:bookmarkEnd w:id="66"/>
      <w:bookmarkEnd w:id="67"/>
      <w:bookmarkEnd w:id="68"/>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采购人和</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不得相互串通，损害国家利益，社会公共利益和其他当事人的合法权益；不得以任何手段排斥其他</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参与竞争。</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不得向采购人、项目采购</w:t>
      </w:r>
      <w:r>
        <w:rPr>
          <w:rFonts w:hint="eastAsia" w:asciiTheme="minorEastAsia" w:hAnsiTheme="minorEastAsia" w:eastAsiaTheme="minorEastAsia" w:cstheme="minorEastAsia"/>
          <w:b w:val="0"/>
          <w:bCs w:val="0"/>
          <w:color w:val="auto"/>
          <w:sz w:val="21"/>
          <w:szCs w:val="21"/>
          <w:lang w:eastAsia="zh-CN"/>
        </w:rPr>
        <w:t>评审</w:t>
      </w:r>
      <w:r>
        <w:rPr>
          <w:rFonts w:hint="eastAsia" w:asciiTheme="minorEastAsia" w:hAnsiTheme="minorEastAsia" w:eastAsiaTheme="minorEastAsia" w:cstheme="minorEastAsia"/>
          <w:b w:val="0"/>
          <w:bCs w:val="0"/>
          <w:color w:val="auto"/>
          <w:sz w:val="21"/>
          <w:szCs w:val="21"/>
        </w:rPr>
        <w:t>小组成员行贿或者采取其他不正当手段谋取成交。</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除</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质疑和投诉外，从评审之时起至授予合同止，</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不得就与其响应有关的事项主动与项目采购</w:t>
      </w:r>
      <w:r>
        <w:rPr>
          <w:rFonts w:hint="eastAsia" w:asciiTheme="minorEastAsia" w:hAnsiTheme="minorEastAsia" w:eastAsiaTheme="minorEastAsia" w:cstheme="minorEastAsia"/>
          <w:b w:val="0"/>
          <w:bCs w:val="0"/>
          <w:color w:val="auto"/>
          <w:sz w:val="21"/>
          <w:szCs w:val="21"/>
          <w:lang w:eastAsia="zh-CN"/>
        </w:rPr>
        <w:t>评审</w:t>
      </w:r>
      <w:r>
        <w:rPr>
          <w:rFonts w:hint="eastAsia" w:asciiTheme="minorEastAsia" w:hAnsiTheme="minorEastAsia" w:eastAsiaTheme="minorEastAsia" w:cstheme="minorEastAsia"/>
          <w:b w:val="0"/>
          <w:bCs w:val="0"/>
          <w:color w:val="auto"/>
          <w:sz w:val="21"/>
          <w:szCs w:val="21"/>
        </w:rPr>
        <w:t>小组成员、采购人接触。</w:t>
      </w:r>
    </w:p>
    <w:p>
      <w:pPr>
        <w:pStyle w:val="5"/>
        <w:numPr>
          <w:ilvl w:val="1"/>
          <w:numId w:val="8"/>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《中华人民共和国政府采购法》及相关法规规定的其它禁止事项。</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69" w:name="_Toc1981"/>
      <w:bookmarkStart w:id="70" w:name="_Toc2341277"/>
      <w:bookmarkStart w:id="71" w:name="_Toc1300"/>
      <w:bookmarkStart w:id="72" w:name="_Toc2341702"/>
      <w:bookmarkStart w:id="73" w:name="_Toc8321"/>
      <w:r>
        <w:rPr>
          <w:rFonts w:hint="eastAsia" w:asciiTheme="minorEastAsia" w:hAnsiTheme="minorEastAsia" w:eastAsiaTheme="minorEastAsia" w:cstheme="minorEastAsia"/>
          <w:b/>
          <w:color w:val="auto"/>
          <w:sz w:val="21"/>
          <w:szCs w:val="21"/>
        </w:rPr>
        <w:t>保密事项</w:t>
      </w:r>
      <w:bookmarkEnd w:id="69"/>
      <w:bookmarkEnd w:id="70"/>
      <w:bookmarkEnd w:id="71"/>
      <w:bookmarkEnd w:id="72"/>
      <w:bookmarkEnd w:id="73"/>
    </w:p>
    <w:p>
      <w:pPr>
        <w:numPr>
          <w:ilvl w:val="0"/>
          <w:numId w:val="0"/>
        </w:numPr>
        <w:spacing w:line="360" w:lineRule="auto"/>
        <w:ind w:leftChars="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由采购人向</w:t>
      </w:r>
      <w:r>
        <w:rPr>
          <w:rFonts w:hint="eastAsia" w:asciiTheme="minorEastAsia" w:hAnsiTheme="minorEastAsia" w:eastAsiaTheme="minorEastAsia" w:cstheme="minorEastAsia"/>
          <w:color w:val="auto"/>
          <w:sz w:val="21"/>
          <w:szCs w:val="21"/>
          <w:lang w:eastAsia="zh-CN"/>
        </w:rPr>
        <w:t>竞选人</w:t>
      </w:r>
      <w:r>
        <w:rPr>
          <w:rFonts w:hint="eastAsia" w:asciiTheme="minorEastAsia" w:hAnsiTheme="minorEastAsia" w:eastAsiaTheme="minorEastAsia" w:cstheme="minorEastAsia"/>
          <w:color w:val="auto"/>
          <w:sz w:val="21"/>
          <w:szCs w:val="21"/>
        </w:rPr>
        <w:t>提供的采购文件、用户需求书等所有资料，</w:t>
      </w:r>
      <w:r>
        <w:rPr>
          <w:rFonts w:hint="eastAsia" w:asciiTheme="minorEastAsia" w:hAnsiTheme="minorEastAsia" w:eastAsiaTheme="minorEastAsia" w:cstheme="minorEastAsia"/>
          <w:color w:val="auto"/>
          <w:sz w:val="21"/>
          <w:szCs w:val="21"/>
          <w:lang w:eastAsia="zh-CN"/>
        </w:rPr>
        <w:t>竞选人</w:t>
      </w:r>
      <w:r>
        <w:rPr>
          <w:rFonts w:hint="eastAsia" w:asciiTheme="minorEastAsia" w:hAnsiTheme="minorEastAsia" w:eastAsiaTheme="minorEastAsia" w:cstheme="minorEastAsia"/>
          <w:color w:val="auto"/>
          <w:sz w:val="21"/>
          <w:szCs w:val="21"/>
        </w:rPr>
        <w:t>获得后，应对其保密。非经采购人同意，</w:t>
      </w:r>
      <w:r>
        <w:rPr>
          <w:rFonts w:hint="eastAsia" w:asciiTheme="minorEastAsia" w:hAnsiTheme="minorEastAsia" w:eastAsiaTheme="minorEastAsia" w:cstheme="minorEastAsia"/>
          <w:color w:val="auto"/>
          <w:sz w:val="21"/>
          <w:szCs w:val="21"/>
          <w:lang w:eastAsia="zh-CN"/>
        </w:rPr>
        <w:t>竞选人</w:t>
      </w:r>
      <w:r>
        <w:rPr>
          <w:rFonts w:hint="eastAsia" w:asciiTheme="minorEastAsia" w:hAnsiTheme="minorEastAsia" w:eastAsiaTheme="minorEastAsia" w:cstheme="minorEastAsia"/>
          <w:color w:val="auto"/>
          <w:sz w:val="21"/>
          <w:szCs w:val="21"/>
        </w:rPr>
        <w:t>不得向第三方透露或将其用于本次响应以外的任何用途。评审后，应采购人要求，</w:t>
      </w:r>
      <w:r>
        <w:rPr>
          <w:rFonts w:hint="eastAsia" w:asciiTheme="minorEastAsia" w:hAnsiTheme="minorEastAsia" w:eastAsiaTheme="minorEastAsia" w:cstheme="minorEastAsia"/>
          <w:color w:val="auto"/>
          <w:sz w:val="21"/>
          <w:szCs w:val="21"/>
          <w:lang w:eastAsia="zh-CN"/>
        </w:rPr>
        <w:t>竞选人</w:t>
      </w:r>
      <w:r>
        <w:rPr>
          <w:rFonts w:hint="eastAsia" w:asciiTheme="minorEastAsia" w:hAnsiTheme="minorEastAsia" w:eastAsiaTheme="minorEastAsia" w:cstheme="minorEastAsia"/>
          <w:color w:val="auto"/>
          <w:sz w:val="21"/>
          <w:szCs w:val="21"/>
        </w:rPr>
        <w:t>须归还采购人认为需保密的所有资料，并销毁所有相应的备份资料。</w:t>
      </w:r>
    </w:p>
    <w:p>
      <w:pPr>
        <w:pStyle w:val="5"/>
        <w:numPr>
          <w:ilvl w:val="0"/>
          <w:numId w:val="8"/>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rPr>
      </w:pPr>
      <w:bookmarkStart w:id="74" w:name="_Toc30116"/>
      <w:bookmarkStart w:id="75" w:name="_Toc2341703"/>
      <w:bookmarkStart w:id="76" w:name="_Toc2341278"/>
      <w:bookmarkStart w:id="77" w:name="_Toc18509"/>
      <w:bookmarkStart w:id="78" w:name="_Toc11969"/>
      <w:r>
        <w:rPr>
          <w:rFonts w:hint="eastAsia" w:asciiTheme="minorEastAsia" w:hAnsiTheme="minorEastAsia" w:eastAsiaTheme="minorEastAsia" w:cstheme="minorEastAsia"/>
          <w:b/>
          <w:color w:val="auto"/>
          <w:sz w:val="21"/>
          <w:szCs w:val="21"/>
        </w:rPr>
        <w:t>知识产权</w:t>
      </w:r>
      <w:bookmarkEnd w:id="74"/>
      <w:bookmarkEnd w:id="75"/>
      <w:bookmarkEnd w:id="76"/>
      <w:bookmarkEnd w:id="77"/>
      <w:bookmarkEnd w:id="78"/>
    </w:p>
    <w:p>
      <w:pPr>
        <w:numPr>
          <w:ilvl w:val="0"/>
          <w:numId w:val="0"/>
        </w:numPr>
        <w:snapToGrid w:val="0"/>
        <w:spacing w:line="360" w:lineRule="auto"/>
        <w:ind w:leftChars="0"/>
        <w:jc w:val="both"/>
        <w:outlineLvl w:val="9"/>
        <w:rPr>
          <w:rFonts w:hint="eastAsia" w:ascii="宋体" w:hAnsi="宋体"/>
          <w:color w:val="auto"/>
          <w:sz w:val="21"/>
          <w:szCs w:val="21"/>
          <w:highlight w:val="cyan"/>
        </w:rPr>
      </w:pPr>
      <w:r>
        <w:rPr>
          <w:rFonts w:hint="eastAsia" w:ascii="宋体" w:hAnsi="宋体"/>
          <w:color w:val="auto"/>
          <w:sz w:val="21"/>
          <w:szCs w:val="21"/>
          <w:lang w:eastAsia="zh-CN"/>
        </w:rPr>
        <w:t>竞选</w:t>
      </w:r>
      <w:r>
        <w:rPr>
          <w:rFonts w:hint="eastAsia" w:ascii="宋体" w:hAnsi="宋体"/>
          <w:color w:val="auto"/>
          <w:sz w:val="21"/>
          <w:szCs w:val="21"/>
        </w:rPr>
        <w:t>人</w:t>
      </w:r>
      <w:r>
        <w:rPr>
          <w:rFonts w:hint="eastAsia" w:ascii="宋体" w:hAnsi="宋体"/>
          <w:color w:val="auto"/>
          <w:sz w:val="21"/>
          <w:szCs w:val="21"/>
          <w:lang w:eastAsia="zh-CN"/>
        </w:rPr>
        <w:t>必须</w:t>
      </w:r>
      <w:r>
        <w:rPr>
          <w:rFonts w:hint="eastAsia" w:ascii="宋体" w:hAnsi="宋体"/>
          <w:color w:val="auto"/>
          <w:sz w:val="21"/>
          <w:szCs w:val="21"/>
        </w:rPr>
        <w:t>保证，</w:t>
      </w:r>
      <w:r>
        <w:rPr>
          <w:rFonts w:hint="eastAsia" w:ascii="宋体" w:hAnsi="宋体"/>
          <w:color w:val="auto"/>
          <w:sz w:val="21"/>
          <w:szCs w:val="21"/>
          <w:lang w:eastAsia="zh-CN"/>
        </w:rPr>
        <w:t>采购</w:t>
      </w:r>
      <w:r>
        <w:rPr>
          <w:rFonts w:hint="eastAsia" w:ascii="宋体" w:hAnsi="宋体"/>
          <w:color w:val="auto"/>
          <w:sz w:val="21"/>
          <w:szCs w:val="21"/>
        </w:rPr>
        <w:t>人在中华人民共和国使用该货物或货物的任何一部分时，免受第三方提出的侵犯其专利权、商标权、著作权或其它知识产权的起诉</w:t>
      </w:r>
      <w:bookmarkStart w:id="79" w:name="_Toc533236377"/>
      <w:bookmarkStart w:id="80" w:name="_Toc2341653"/>
      <w:bookmarkStart w:id="81" w:name="_Toc334797733"/>
      <w:bookmarkStart w:id="82" w:name="_Toc2341279"/>
      <w:bookmarkStart w:id="83" w:name="_Toc2341704"/>
      <w:bookmarkStart w:id="84" w:name="_Toc2341902"/>
      <w:r>
        <w:rPr>
          <w:rFonts w:hint="eastAsia" w:ascii="宋体" w:hAnsi="宋体"/>
          <w:color w:val="auto"/>
          <w:sz w:val="21"/>
          <w:szCs w:val="21"/>
          <w:lang w:eastAsia="zh-CN"/>
        </w:rPr>
        <w:t>。</w:t>
      </w:r>
    </w:p>
    <w:p>
      <w:pPr>
        <w:pStyle w:val="5"/>
        <w:numPr>
          <w:ilvl w:val="0"/>
          <w:numId w:val="7"/>
        </w:numPr>
        <w:snapToGrid w:val="0"/>
        <w:spacing w:before="120" w:line="360" w:lineRule="auto"/>
        <w:ind w:left="0" w:leftChars="0" w:firstLine="0" w:firstLineChars="0"/>
        <w:outlineLvl w:val="1"/>
        <w:rPr>
          <w:rFonts w:hint="eastAsia" w:asciiTheme="minorEastAsia" w:hAnsiTheme="minorEastAsia" w:eastAsiaTheme="minorEastAsia" w:cstheme="minorEastAsia"/>
          <w:b/>
          <w:color w:val="auto"/>
          <w:sz w:val="21"/>
          <w:szCs w:val="21"/>
          <w:highlight w:val="none"/>
        </w:rPr>
      </w:pPr>
      <w:bookmarkStart w:id="85" w:name="_Toc30606"/>
      <w:bookmarkStart w:id="86" w:name="_Toc29495"/>
      <w:bookmarkStart w:id="87" w:name="_Toc7205"/>
      <w:r>
        <w:rPr>
          <w:rFonts w:hint="eastAsia" w:asciiTheme="minorEastAsia" w:hAnsiTheme="minorEastAsia" w:eastAsiaTheme="minorEastAsia" w:cstheme="minorEastAsia"/>
          <w:b/>
          <w:color w:val="auto"/>
          <w:sz w:val="21"/>
          <w:szCs w:val="21"/>
          <w:highlight w:val="none"/>
        </w:rPr>
        <w:t>采购文件</w:t>
      </w:r>
      <w:bookmarkEnd w:id="79"/>
      <w:bookmarkEnd w:id="80"/>
      <w:bookmarkEnd w:id="81"/>
      <w:bookmarkEnd w:id="82"/>
      <w:bookmarkEnd w:id="83"/>
      <w:bookmarkEnd w:id="84"/>
      <w:bookmarkEnd w:id="85"/>
      <w:bookmarkEnd w:id="86"/>
      <w:bookmarkEnd w:id="87"/>
    </w:p>
    <w:p>
      <w:pPr>
        <w:pStyle w:val="5"/>
        <w:numPr>
          <w:ilvl w:val="0"/>
          <w:numId w:val="9"/>
        </w:numPr>
        <w:snapToGrid w:val="0"/>
        <w:spacing w:before="120" w:line="360" w:lineRule="auto"/>
        <w:ind w:left="425" w:leftChars="0" w:hanging="425" w:firstLineChars="0"/>
        <w:outlineLvl w:val="9"/>
        <w:rPr>
          <w:rFonts w:hint="eastAsia" w:asciiTheme="minorEastAsia" w:hAnsiTheme="minorEastAsia" w:eastAsiaTheme="minorEastAsia" w:cstheme="minorEastAsia"/>
          <w:b/>
          <w:color w:val="auto"/>
          <w:sz w:val="21"/>
          <w:szCs w:val="21"/>
          <w:highlight w:val="none"/>
        </w:rPr>
      </w:pPr>
      <w:bookmarkStart w:id="88" w:name="_Toc22579"/>
      <w:bookmarkStart w:id="89" w:name="_Toc2341705"/>
      <w:bookmarkStart w:id="90" w:name="_Toc15072"/>
      <w:bookmarkStart w:id="91" w:name="_Toc2341280"/>
      <w:bookmarkStart w:id="92" w:name="_Toc26710"/>
      <w:r>
        <w:rPr>
          <w:rFonts w:hint="eastAsia" w:asciiTheme="minorEastAsia" w:hAnsiTheme="minorEastAsia" w:eastAsiaTheme="minorEastAsia" w:cstheme="minorEastAsia"/>
          <w:b/>
          <w:bCs/>
          <w:color w:val="auto"/>
          <w:sz w:val="21"/>
          <w:szCs w:val="21"/>
          <w:highlight w:val="none"/>
        </w:rPr>
        <w:t>采购文件的组成</w:t>
      </w:r>
      <w:bookmarkEnd w:id="88"/>
      <w:bookmarkEnd w:id="89"/>
      <w:bookmarkEnd w:id="90"/>
      <w:bookmarkEnd w:id="91"/>
      <w:bookmarkEnd w:id="92"/>
    </w:p>
    <w:p>
      <w:pPr>
        <w:numPr>
          <w:ilvl w:val="1"/>
          <w:numId w:val="9"/>
        </w:numPr>
        <w:spacing w:line="360" w:lineRule="auto"/>
        <w:ind w:left="420" w:leftChars="0" w:hanging="420" w:firstLineChars="0"/>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采购文件由竞选邀请</w:t>
      </w:r>
      <w:r>
        <w:rPr>
          <w:rFonts w:hint="eastAsia" w:asciiTheme="minorEastAsia" w:hAnsiTheme="minorEastAsia" w:eastAsiaTheme="minorEastAsia" w:cstheme="minorEastAsia"/>
          <w:b w:val="0"/>
          <w:bCs/>
          <w:color w:val="auto"/>
          <w:sz w:val="21"/>
          <w:szCs w:val="21"/>
          <w:highlight w:val="none"/>
          <w:lang w:val="en-US" w:eastAsia="zh-CN"/>
        </w:rPr>
        <w:t>函</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竞选人</w:t>
      </w:r>
      <w:r>
        <w:rPr>
          <w:rFonts w:hint="eastAsia" w:asciiTheme="minorEastAsia" w:hAnsiTheme="minorEastAsia" w:eastAsiaTheme="minorEastAsia" w:cstheme="minorEastAsia"/>
          <w:b w:val="0"/>
          <w:bCs/>
          <w:color w:val="auto"/>
          <w:sz w:val="21"/>
          <w:szCs w:val="21"/>
          <w:highlight w:val="none"/>
        </w:rPr>
        <w:t>须知、</w:t>
      </w:r>
      <w:r>
        <w:rPr>
          <w:rFonts w:hint="eastAsia" w:asciiTheme="minorEastAsia" w:hAnsiTheme="minorEastAsia" w:eastAsiaTheme="minorEastAsia" w:cstheme="minorEastAsia"/>
          <w:b w:val="0"/>
          <w:bCs/>
          <w:color w:val="auto"/>
          <w:sz w:val="21"/>
          <w:szCs w:val="21"/>
          <w:highlight w:val="none"/>
          <w:lang w:val="en-US" w:eastAsia="zh-CN"/>
        </w:rPr>
        <w:t>用户需求书</w:t>
      </w:r>
      <w:r>
        <w:rPr>
          <w:rFonts w:hint="eastAsia" w:asciiTheme="minorEastAsia" w:hAnsiTheme="minorEastAsia" w:eastAsiaTheme="minorEastAsia" w:cstheme="minorEastAsia"/>
          <w:b w:val="0"/>
          <w:bCs/>
          <w:color w:val="auto"/>
          <w:sz w:val="21"/>
          <w:szCs w:val="21"/>
          <w:highlight w:val="none"/>
        </w:rPr>
        <w:t>、评审方式及程序</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响应文件格式</w:t>
      </w:r>
      <w:r>
        <w:rPr>
          <w:rFonts w:hint="eastAsia" w:asciiTheme="minorEastAsia" w:hAnsiTheme="minorEastAsia" w:eastAsiaTheme="minorEastAsia" w:cstheme="minorEastAsia"/>
          <w:b w:val="0"/>
          <w:bCs/>
          <w:color w:val="auto"/>
          <w:sz w:val="21"/>
          <w:szCs w:val="21"/>
          <w:highlight w:val="none"/>
          <w:lang w:val="en-US" w:eastAsia="zh-CN"/>
        </w:rPr>
        <w:t>和合同通用条款六</w:t>
      </w:r>
      <w:r>
        <w:rPr>
          <w:rFonts w:hint="eastAsia" w:asciiTheme="minorEastAsia" w:hAnsiTheme="minorEastAsia" w:eastAsiaTheme="minorEastAsia" w:cstheme="minorEastAsia"/>
          <w:b w:val="0"/>
          <w:bCs/>
          <w:color w:val="auto"/>
          <w:sz w:val="21"/>
          <w:szCs w:val="21"/>
          <w:highlight w:val="none"/>
        </w:rPr>
        <w:t>部分内容组成。</w:t>
      </w:r>
    </w:p>
    <w:p>
      <w:pPr>
        <w:pStyle w:val="5"/>
        <w:numPr>
          <w:ilvl w:val="0"/>
          <w:numId w:val="9"/>
        </w:numPr>
        <w:snapToGrid w:val="0"/>
        <w:spacing w:before="120" w:line="360" w:lineRule="auto"/>
        <w:ind w:left="425" w:leftChars="0" w:hanging="425" w:firstLineChars="0"/>
        <w:outlineLvl w:val="9"/>
        <w:rPr>
          <w:rFonts w:hint="eastAsia" w:asciiTheme="minorEastAsia" w:hAnsiTheme="minorEastAsia" w:eastAsiaTheme="minorEastAsia" w:cstheme="minorEastAsia"/>
          <w:b/>
          <w:bCs/>
          <w:color w:val="auto"/>
          <w:sz w:val="21"/>
          <w:szCs w:val="21"/>
          <w:highlight w:val="none"/>
        </w:rPr>
      </w:pPr>
      <w:bookmarkStart w:id="93" w:name="_Toc2341281"/>
      <w:bookmarkStart w:id="94" w:name="_Toc13390"/>
      <w:bookmarkStart w:id="95" w:name="_Toc31601"/>
      <w:bookmarkStart w:id="96" w:name="_Toc2603"/>
      <w:bookmarkStart w:id="97" w:name="_Toc2341706"/>
      <w:r>
        <w:rPr>
          <w:rFonts w:hint="eastAsia" w:asciiTheme="minorEastAsia" w:hAnsiTheme="minorEastAsia" w:eastAsiaTheme="minorEastAsia" w:cstheme="minorEastAsia"/>
          <w:b/>
          <w:bCs/>
          <w:color w:val="auto"/>
          <w:sz w:val="21"/>
          <w:szCs w:val="21"/>
          <w:highlight w:val="none"/>
        </w:rPr>
        <w:t>采购文件的补充和修改</w:t>
      </w:r>
      <w:bookmarkEnd w:id="93"/>
      <w:bookmarkEnd w:id="94"/>
      <w:bookmarkEnd w:id="95"/>
      <w:bookmarkEnd w:id="96"/>
      <w:bookmarkEnd w:id="97"/>
    </w:p>
    <w:p>
      <w:pPr>
        <w:pStyle w:val="5"/>
        <w:numPr>
          <w:ilvl w:val="1"/>
          <w:numId w:val="9"/>
        </w:numPr>
        <w:snapToGrid w:val="0"/>
        <w:spacing w:before="120" w:line="360" w:lineRule="auto"/>
        <w:ind w:left="420" w:leftChars="0" w:hanging="420" w:firstLineChars="0"/>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对采购文件进行必要的补充或修改，于评审前</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天以书面形式通知所有符合条件的</w:t>
      </w:r>
      <w:r>
        <w:rPr>
          <w:rFonts w:hint="eastAsia" w:asciiTheme="minorEastAsia" w:hAnsiTheme="minorEastAsia" w:eastAsiaTheme="minorEastAsia" w:cstheme="minorEastAsia"/>
          <w:bCs/>
          <w:color w:val="auto"/>
          <w:sz w:val="21"/>
          <w:szCs w:val="21"/>
          <w:lang w:eastAsia="zh-CN"/>
        </w:rPr>
        <w:t>竞选人</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竞选人</w:t>
      </w:r>
      <w:r>
        <w:rPr>
          <w:rFonts w:hint="eastAsia" w:asciiTheme="minorEastAsia" w:hAnsiTheme="minorEastAsia" w:eastAsiaTheme="minorEastAsia" w:cstheme="minorEastAsia"/>
          <w:bCs/>
          <w:color w:val="auto"/>
          <w:sz w:val="21"/>
          <w:szCs w:val="21"/>
        </w:rPr>
        <w:t>在收到补充或修改通知后应立即以书面形式予以确认，在规定的时间内</w:t>
      </w:r>
      <w:r>
        <w:rPr>
          <w:rFonts w:hint="eastAsia" w:asciiTheme="minorEastAsia" w:hAnsiTheme="minorEastAsia" w:eastAsiaTheme="minorEastAsia" w:cstheme="minorEastAsia"/>
          <w:bCs/>
          <w:color w:val="auto"/>
          <w:sz w:val="21"/>
          <w:szCs w:val="21"/>
          <w:lang w:eastAsia="zh-CN"/>
        </w:rPr>
        <w:t>竞选人</w:t>
      </w:r>
      <w:r>
        <w:rPr>
          <w:rFonts w:hint="eastAsia" w:asciiTheme="minorEastAsia" w:hAnsiTheme="minorEastAsia" w:eastAsiaTheme="minorEastAsia" w:cstheme="minorEastAsia"/>
          <w:bCs/>
          <w:color w:val="auto"/>
          <w:sz w:val="21"/>
          <w:szCs w:val="21"/>
        </w:rPr>
        <w:t>不予书面确认的，视为已收到通知，该补充或修改的内容为采购文件的组成部分。</w:t>
      </w:r>
    </w:p>
    <w:p>
      <w:pPr>
        <w:pStyle w:val="5"/>
        <w:numPr>
          <w:ilvl w:val="1"/>
          <w:numId w:val="9"/>
        </w:numPr>
        <w:snapToGrid w:val="0"/>
        <w:spacing w:before="120" w:line="360" w:lineRule="auto"/>
        <w:ind w:left="420" w:leftChars="0" w:hanging="420" w:firstLineChars="0"/>
        <w:outlineLvl w:val="9"/>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采购过程中的一切修改文件或补充文件一旦确认后与采购文件具有同等法律效力，</w:t>
      </w:r>
      <w:r>
        <w:rPr>
          <w:rFonts w:hint="eastAsia" w:asciiTheme="minorEastAsia" w:hAnsiTheme="minorEastAsia" w:eastAsiaTheme="minorEastAsia" w:cstheme="minorEastAsia"/>
          <w:bCs/>
          <w:color w:val="auto"/>
          <w:sz w:val="21"/>
          <w:szCs w:val="21"/>
          <w:lang w:eastAsia="zh-CN"/>
        </w:rPr>
        <w:t>竞选人</w:t>
      </w:r>
      <w:r>
        <w:rPr>
          <w:rFonts w:hint="eastAsia" w:asciiTheme="minorEastAsia" w:hAnsiTheme="minorEastAsia" w:eastAsiaTheme="minorEastAsia" w:cstheme="minorEastAsia"/>
          <w:bCs/>
          <w:color w:val="auto"/>
          <w:sz w:val="21"/>
          <w:szCs w:val="21"/>
        </w:rPr>
        <w:t>有责任履行相应的义务。</w:t>
      </w:r>
    </w:p>
    <w:p>
      <w:pPr>
        <w:pStyle w:val="5"/>
        <w:numPr>
          <w:ilvl w:val="0"/>
          <w:numId w:val="7"/>
        </w:numPr>
        <w:snapToGrid w:val="0"/>
        <w:spacing w:before="120" w:line="360" w:lineRule="auto"/>
        <w:ind w:left="0" w:leftChars="0" w:firstLine="0" w:firstLineChars="0"/>
        <w:outlineLvl w:val="1"/>
        <w:rPr>
          <w:rFonts w:hint="eastAsia" w:asciiTheme="minorEastAsia" w:hAnsiTheme="minorEastAsia" w:eastAsiaTheme="minorEastAsia" w:cstheme="minorEastAsia"/>
          <w:b/>
          <w:color w:val="auto"/>
          <w:sz w:val="21"/>
          <w:szCs w:val="21"/>
        </w:rPr>
      </w:pPr>
      <w:bookmarkStart w:id="98" w:name="_Toc2341282"/>
      <w:bookmarkStart w:id="99" w:name="_Toc11798"/>
      <w:bookmarkStart w:id="100" w:name="_Toc185747580"/>
      <w:bookmarkStart w:id="101" w:name="_Toc334797734"/>
      <w:bookmarkStart w:id="102" w:name="_Toc223939095"/>
      <w:bookmarkStart w:id="103" w:name="_Toc238282334"/>
      <w:bookmarkStart w:id="104" w:name="_Toc228644972"/>
      <w:bookmarkStart w:id="105" w:name="_Toc14644"/>
      <w:bookmarkStart w:id="106" w:name="_Toc2341654"/>
      <w:bookmarkStart w:id="107" w:name="_Toc2341707"/>
      <w:bookmarkStart w:id="108" w:name="_Toc533236378"/>
      <w:bookmarkStart w:id="109" w:name="_Toc26521"/>
      <w:bookmarkStart w:id="110" w:name="_Toc225565947"/>
      <w:bookmarkStart w:id="111" w:name="_Toc224435720"/>
      <w:bookmarkStart w:id="112" w:name="_Toc2341903"/>
      <w:bookmarkStart w:id="113" w:name="_Toc228899501"/>
      <w:r>
        <w:rPr>
          <w:rFonts w:hint="eastAsia" w:asciiTheme="minorEastAsia" w:hAnsiTheme="minorEastAsia" w:eastAsiaTheme="minorEastAsia" w:cstheme="minorEastAsia"/>
          <w:b/>
          <w:color w:val="auto"/>
          <w:sz w:val="21"/>
          <w:szCs w:val="21"/>
        </w:rPr>
        <w:t>响应文件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5"/>
        <w:numPr>
          <w:ilvl w:val="0"/>
          <w:numId w:val="10"/>
        </w:numPr>
        <w:snapToGrid w:val="0"/>
        <w:spacing w:before="120" w:line="360" w:lineRule="auto"/>
        <w:ind w:left="425" w:leftChars="0" w:hanging="425" w:firstLineChars="0"/>
        <w:outlineLvl w:val="9"/>
        <w:rPr>
          <w:rFonts w:hint="eastAsia" w:asciiTheme="minorEastAsia" w:hAnsiTheme="minorEastAsia" w:eastAsiaTheme="minorEastAsia" w:cstheme="minorEastAsia"/>
          <w:b/>
          <w:bCs/>
          <w:color w:val="auto"/>
          <w:sz w:val="21"/>
          <w:szCs w:val="21"/>
        </w:rPr>
      </w:pPr>
      <w:bookmarkStart w:id="114" w:name="_Toc2341708"/>
      <w:bookmarkStart w:id="115" w:name="_Toc31891"/>
      <w:bookmarkStart w:id="116" w:name="_Toc29089"/>
      <w:bookmarkStart w:id="117" w:name="_Toc23373"/>
      <w:bookmarkStart w:id="118" w:name="_Toc2341283"/>
      <w:r>
        <w:rPr>
          <w:rFonts w:hint="eastAsia" w:asciiTheme="minorEastAsia" w:hAnsiTheme="minorEastAsia" w:eastAsiaTheme="minorEastAsia" w:cstheme="minorEastAsia"/>
          <w:b/>
          <w:bCs/>
          <w:color w:val="auto"/>
          <w:sz w:val="21"/>
          <w:szCs w:val="21"/>
        </w:rPr>
        <w:t>响应文件的编写</w:t>
      </w:r>
      <w:bookmarkEnd w:id="114"/>
      <w:bookmarkEnd w:id="115"/>
      <w:bookmarkEnd w:id="116"/>
      <w:bookmarkEnd w:id="117"/>
      <w:bookmarkEnd w:id="118"/>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应仔细阅读响应文件的所有内容，按响应文件的要求制作并递交响应文件，并保证所提供的全部资料的真实性、准确性，以确保其响应对采购文件做出实质性响应。</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在响应中提供不真实的材料，无论其材料是否重要，都将直接导致响应文件无效，并承担由此产生的法律责任。</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响应文件中的语言：响应文件和来往函件应用简体中文书写，</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提供的支持文件、技术资料和印刷的文献可以用其他语言，但相应内容应附有中文翻译文本（经公证处公证），对不同文字文本响应文件的解释发生异议的，以中文文本为准。</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须用人民币作为报价的货币单位。响应文件中报价表内容与响应文件中明细表内容不一致的，以报价表为准。响应文件的大写金额和小写金额不一致的，以大写金额为准；总价金额与按单价汇总金额不一致的，以单价金额计算结果为准；单价金额小数点有明显错位的，应以总价为准，并修改单价。</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的报价明显低于其他响应报价，使得其响应报价可能低于其个别成本的，</w:t>
      </w:r>
      <w:r>
        <w:rPr>
          <w:rFonts w:hint="eastAsia" w:asciiTheme="minorEastAsia" w:hAnsiTheme="minorEastAsia" w:eastAsiaTheme="minorEastAsia" w:cstheme="minorEastAsia"/>
          <w:b w:val="0"/>
          <w:bCs/>
          <w:color w:val="auto"/>
          <w:kern w:val="0"/>
          <w:sz w:val="21"/>
          <w:szCs w:val="21"/>
        </w:rPr>
        <w:t>有可能影响服务质量和不能诚信履约的，项目采购</w:t>
      </w:r>
      <w:r>
        <w:rPr>
          <w:rFonts w:hint="eastAsia" w:asciiTheme="minorEastAsia" w:hAnsiTheme="minorEastAsia" w:eastAsiaTheme="minorEastAsia" w:cstheme="minorEastAsia"/>
          <w:b w:val="0"/>
          <w:bCs/>
          <w:color w:val="auto"/>
          <w:kern w:val="0"/>
          <w:sz w:val="21"/>
          <w:szCs w:val="21"/>
          <w:lang w:eastAsia="zh-CN"/>
        </w:rPr>
        <w:t>评审</w:t>
      </w:r>
      <w:r>
        <w:rPr>
          <w:rFonts w:hint="eastAsia" w:asciiTheme="minorEastAsia" w:hAnsiTheme="minorEastAsia" w:eastAsiaTheme="minorEastAsia" w:cstheme="minorEastAsia"/>
          <w:b w:val="0"/>
          <w:bCs/>
          <w:color w:val="auto"/>
          <w:kern w:val="0"/>
          <w:sz w:val="21"/>
          <w:szCs w:val="21"/>
        </w:rPr>
        <w:t>小组</w:t>
      </w:r>
      <w:r>
        <w:rPr>
          <w:rFonts w:hint="eastAsia" w:asciiTheme="minorEastAsia" w:hAnsiTheme="minorEastAsia" w:eastAsiaTheme="minorEastAsia" w:cstheme="minorEastAsia"/>
          <w:b w:val="0"/>
          <w:bCs/>
          <w:color w:val="auto"/>
          <w:sz w:val="21"/>
          <w:szCs w:val="21"/>
        </w:rPr>
        <w:t>应当要求该</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作出书面说明并提供相关证明材料。</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不能合理说明或者不能提供相关证明材料的，由项目采购</w:t>
      </w:r>
      <w:r>
        <w:rPr>
          <w:rFonts w:hint="eastAsia" w:asciiTheme="minorEastAsia" w:hAnsiTheme="minorEastAsia" w:eastAsiaTheme="minorEastAsia" w:cstheme="minorEastAsia"/>
          <w:b w:val="0"/>
          <w:bCs/>
          <w:color w:val="auto"/>
          <w:sz w:val="21"/>
          <w:szCs w:val="21"/>
          <w:lang w:eastAsia="zh-CN"/>
        </w:rPr>
        <w:t>评审</w:t>
      </w:r>
      <w:r>
        <w:rPr>
          <w:rFonts w:hint="eastAsia" w:asciiTheme="minorEastAsia" w:hAnsiTheme="minorEastAsia" w:eastAsiaTheme="minorEastAsia" w:cstheme="minorEastAsia"/>
          <w:b w:val="0"/>
          <w:bCs/>
          <w:color w:val="auto"/>
          <w:sz w:val="21"/>
          <w:szCs w:val="21"/>
        </w:rPr>
        <w:t>小组认定该</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以低于成本报价，应作无效响应处理。</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本项目要求响应报价应包括</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提供本项目要求服务时所需人员、</w:t>
      </w:r>
      <w:r>
        <w:rPr>
          <w:rFonts w:hint="eastAsia" w:asciiTheme="minorEastAsia" w:hAnsiTheme="minorEastAsia" w:eastAsiaTheme="minorEastAsia" w:cstheme="minorEastAsia"/>
          <w:b w:val="0"/>
          <w:bCs/>
          <w:color w:val="auto"/>
          <w:sz w:val="21"/>
          <w:szCs w:val="21"/>
          <w:lang w:val="en-GB"/>
        </w:rPr>
        <w:t>产品、</w:t>
      </w:r>
      <w:r>
        <w:rPr>
          <w:rFonts w:hint="eastAsia" w:asciiTheme="minorEastAsia" w:hAnsiTheme="minorEastAsia" w:eastAsiaTheme="minorEastAsia" w:cstheme="minorEastAsia"/>
          <w:b w:val="0"/>
          <w:bCs/>
          <w:color w:val="auto"/>
          <w:sz w:val="21"/>
          <w:szCs w:val="21"/>
        </w:rPr>
        <w:t>采购、安装、调试、</w:t>
      </w:r>
      <w:r>
        <w:rPr>
          <w:rFonts w:hint="eastAsia" w:asciiTheme="minorEastAsia" w:hAnsiTheme="minorEastAsia" w:eastAsiaTheme="minorEastAsia" w:cstheme="minorEastAsia"/>
          <w:b w:val="0"/>
          <w:bCs/>
          <w:color w:val="auto"/>
          <w:sz w:val="21"/>
          <w:szCs w:val="21"/>
          <w:lang w:val="en-US" w:eastAsia="zh-CN"/>
        </w:rPr>
        <w:t>税费、</w:t>
      </w:r>
      <w:r>
        <w:rPr>
          <w:rFonts w:hint="eastAsia" w:asciiTheme="minorEastAsia" w:hAnsiTheme="minorEastAsia" w:eastAsiaTheme="minorEastAsia" w:cstheme="minorEastAsia"/>
          <w:b w:val="0"/>
          <w:bCs/>
          <w:color w:val="auto"/>
          <w:sz w:val="21"/>
          <w:szCs w:val="21"/>
        </w:rPr>
        <w:t>相关部门验收</w:t>
      </w:r>
      <w:r>
        <w:rPr>
          <w:rFonts w:hint="eastAsia" w:asciiTheme="minorEastAsia" w:hAnsiTheme="minorEastAsia" w:eastAsiaTheme="minorEastAsia" w:cstheme="minorEastAsia"/>
          <w:b w:val="0"/>
          <w:bCs/>
          <w:color w:val="auto"/>
          <w:sz w:val="21"/>
          <w:szCs w:val="21"/>
          <w:lang w:eastAsia="zh-CN"/>
        </w:rPr>
        <w:t>、培训</w:t>
      </w:r>
      <w:r>
        <w:rPr>
          <w:rFonts w:hint="eastAsia" w:asciiTheme="minorEastAsia" w:hAnsiTheme="minorEastAsia" w:eastAsiaTheme="minorEastAsia" w:cstheme="minorEastAsia"/>
          <w:b w:val="0"/>
          <w:bCs/>
          <w:color w:val="auto"/>
          <w:sz w:val="21"/>
          <w:szCs w:val="21"/>
        </w:rPr>
        <w:t>等所有费用，以及</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认为必要的其他人员、</w:t>
      </w:r>
      <w:r>
        <w:rPr>
          <w:rFonts w:hint="eastAsia" w:asciiTheme="minorEastAsia" w:hAnsiTheme="minorEastAsia" w:eastAsiaTheme="minorEastAsia" w:cstheme="minorEastAsia"/>
          <w:b w:val="0"/>
          <w:bCs/>
          <w:color w:val="auto"/>
          <w:sz w:val="21"/>
          <w:szCs w:val="21"/>
          <w:lang w:val="en-GB"/>
        </w:rPr>
        <w:t>产品、</w:t>
      </w:r>
      <w:r>
        <w:rPr>
          <w:rFonts w:hint="eastAsia" w:asciiTheme="minorEastAsia" w:hAnsiTheme="minorEastAsia" w:eastAsiaTheme="minorEastAsia" w:cstheme="minorEastAsia"/>
          <w:b w:val="0"/>
          <w:bCs/>
          <w:color w:val="auto"/>
          <w:sz w:val="21"/>
          <w:szCs w:val="21"/>
        </w:rPr>
        <w:t>材料、安装、服务；</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应自行增加能满足所承诺达到的服务质量所必需但响应文件没有包含的所有人员、版权、专利等一切费用，如果</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在成交并签署合同后，在人员、供货、安装、调试、培训等工作中出现任何遗漏，均由成交供应商免费提供，采购人将不再支付任何费用。</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在详细报价中应列出采购人需求的所有项目，</w:t>
      </w: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认为必要的但在响应文件中未列出的其它项目可在报价表后面做出补充，所补充的内容应在响应文件中加以详细说明。</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响应栏项目中如出现唯一的数字“0”，则视报价为零；如出现空白或出现负数，视为未响应。</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lang w:eastAsia="zh-CN"/>
        </w:rPr>
        <w:t>竞选人</w:t>
      </w:r>
      <w:r>
        <w:rPr>
          <w:rFonts w:hint="eastAsia" w:asciiTheme="minorEastAsia" w:hAnsiTheme="minorEastAsia" w:eastAsiaTheme="minorEastAsia" w:cstheme="minorEastAsia"/>
          <w:b w:val="0"/>
          <w:bCs/>
          <w:color w:val="auto"/>
          <w:sz w:val="21"/>
          <w:szCs w:val="21"/>
        </w:rPr>
        <w:t>在编写响应文件时，应填写采购文件要求的内容及其附件，并根据实际情况补充评审所需资料，响应文件</w:t>
      </w:r>
      <w:r>
        <w:rPr>
          <w:rFonts w:hint="eastAsia" w:asciiTheme="minorEastAsia" w:hAnsiTheme="minorEastAsia" w:eastAsiaTheme="minorEastAsia" w:cstheme="minorEastAsia"/>
          <w:b w:val="0"/>
          <w:bCs/>
          <w:color w:val="auto"/>
          <w:sz w:val="21"/>
          <w:szCs w:val="21"/>
          <w:lang w:eastAsia="zh-TW"/>
        </w:rPr>
        <w:t>只填写和提供了</w:t>
      </w:r>
      <w:r>
        <w:rPr>
          <w:rFonts w:hint="eastAsia" w:asciiTheme="minorEastAsia" w:hAnsiTheme="minorEastAsia" w:eastAsiaTheme="minorEastAsia" w:cstheme="minorEastAsia"/>
          <w:b w:val="0"/>
          <w:bCs/>
          <w:color w:val="auto"/>
          <w:sz w:val="21"/>
          <w:szCs w:val="21"/>
        </w:rPr>
        <w:t>采购</w:t>
      </w:r>
      <w:r>
        <w:rPr>
          <w:rFonts w:hint="eastAsia" w:asciiTheme="minorEastAsia" w:hAnsiTheme="minorEastAsia" w:eastAsiaTheme="minorEastAsia" w:cstheme="minorEastAsia"/>
          <w:b w:val="0"/>
          <w:bCs/>
          <w:color w:val="auto"/>
          <w:sz w:val="21"/>
          <w:szCs w:val="21"/>
          <w:lang w:eastAsia="zh-TW"/>
        </w:rPr>
        <w:t>文件要求的部分内容和附件，或没有提供</w:t>
      </w:r>
      <w:r>
        <w:rPr>
          <w:rFonts w:hint="eastAsia" w:asciiTheme="minorEastAsia" w:hAnsiTheme="minorEastAsia" w:eastAsiaTheme="minorEastAsia" w:cstheme="minorEastAsia"/>
          <w:b w:val="0"/>
          <w:bCs/>
          <w:color w:val="auto"/>
          <w:sz w:val="21"/>
          <w:szCs w:val="21"/>
        </w:rPr>
        <w:t>采购</w:t>
      </w:r>
      <w:r>
        <w:rPr>
          <w:rFonts w:hint="eastAsia" w:asciiTheme="minorEastAsia" w:hAnsiTheme="minorEastAsia" w:eastAsiaTheme="minorEastAsia" w:cstheme="minorEastAsia"/>
          <w:b w:val="0"/>
          <w:bCs/>
          <w:color w:val="auto"/>
          <w:sz w:val="21"/>
          <w:szCs w:val="21"/>
          <w:lang w:eastAsia="zh-TW"/>
        </w:rPr>
        <w:t>文件中所要求的全部资料及数据，</w:t>
      </w:r>
      <w:r>
        <w:rPr>
          <w:rFonts w:hint="eastAsia" w:asciiTheme="minorEastAsia" w:hAnsiTheme="minorEastAsia" w:eastAsiaTheme="minorEastAsia" w:cstheme="minorEastAsia"/>
          <w:b w:val="0"/>
          <w:bCs/>
          <w:color w:val="auto"/>
          <w:sz w:val="21"/>
          <w:szCs w:val="21"/>
        </w:rPr>
        <w:t>或没有按实际</w:t>
      </w:r>
      <w:r>
        <w:rPr>
          <w:rFonts w:hint="eastAsia" w:asciiTheme="minorEastAsia" w:hAnsiTheme="minorEastAsia" w:eastAsiaTheme="minorEastAsia" w:cstheme="minorEastAsia"/>
          <w:b w:val="0"/>
          <w:bCs/>
          <w:color w:val="auto"/>
          <w:sz w:val="21"/>
          <w:szCs w:val="21"/>
          <w:highlight w:val="none"/>
        </w:rPr>
        <w:t>情况提供响应所需资料的，</w:t>
      </w:r>
      <w:r>
        <w:rPr>
          <w:rFonts w:hint="eastAsia" w:asciiTheme="minorEastAsia" w:hAnsiTheme="minorEastAsia" w:eastAsiaTheme="minorEastAsia" w:cstheme="minorEastAsia"/>
          <w:b w:val="0"/>
          <w:bCs/>
          <w:color w:val="auto"/>
          <w:sz w:val="21"/>
          <w:szCs w:val="21"/>
          <w:highlight w:val="none"/>
          <w:lang w:eastAsia="zh-TW"/>
        </w:rPr>
        <w:t>其可能导致的结果和责任由</w:t>
      </w:r>
      <w:r>
        <w:rPr>
          <w:rFonts w:hint="eastAsia" w:asciiTheme="minorEastAsia" w:hAnsiTheme="minorEastAsia" w:eastAsiaTheme="minorEastAsia" w:cstheme="minorEastAsia"/>
          <w:b w:val="0"/>
          <w:bCs/>
          <w:color w:val="auto"/>
          <w:sz w:val="21"/>
          <w:szCs w:val="21"/>
          <w:highlight w:val="none"/>
          <w:lang w:eastAsia="zh-CN"/>
        </w:rPr>
        <w:t>竞选人</w:t>
      </w:r>
      <w:r>
        <w:rPr>
          <w:rFonts w:hint="eastAsia" w:asciiTheme="minorEastAsia" w:hAnsiTheme="minorEastAsia" w:eastAsiaTheme="minorEastAsia" w:cstheme="minorEastAsia"/>
          <w:b w:val="0"/>
          <w:bCs/>
          <w:color w:val="auto"/>
          <w:sz w:val="21"/>
          <w:szCs w:val="21"/>
          <w:highlight w:val="none"/>
          <w:lang w:eastAsia="zh-TW"/>
        </w:rPr>
        <w:t>自行承担。</w:t>
      </w:r>
    </w:p>
    <w:p>
      <w:pPr>
        <w:pStyle w:val="5"/>
        <w:numPr>
          <w:ilvl w:val="0"/>
          <w:numId w:val="10"/>
        </w:numPr>
        <w:snapToGrid w:val="0"/>
        <w:spacing w:before="120" w:line="360" w:lineRule="auto"/>
        <w:ind w:left="425" w:leftChars="0" w:hanging="425" w:firstLineChars="0"/>
        <w:outlineLvl w:val="9"/>
        <w:rPr>
          <w:rFonts w:hint="eastAsia" w:asciiTheme="minorEastAsia" w:hAnsiTheme="minorEastAsia" w:eastAsiaTheme="minorEastAsia" w:cstheme="minorEastAsia"/>
          <w:b/>
          <w:bCs/>
          <w:color w:val="auto"/>
          <w:sz w:val="21"/>
          <w:szCs w:val="21"/>
          <w:highlight w:val="none"/>
        </w:rPr>
      </w:pPr>
      <w:bookmarkStart w:id="119" w:name="_Toc5065"/>
      <w:bookmarkStart w:id="120" w:name="_Toc15247"/>
      <w:bookmarkStart w:id="121" w:name="_Toc5523"/>
      <w:bookmarkStart w:id="122" w:name="_Toc2341709"/>
      <w:bookmarkStart w:id="123" w:name="_Toc2341284"/>
      <w:r>
        <w:rPr>
          <w:rFonts w:hint="eastAsia" w:asciiTheme="minorEastAsia" w:hAnsiTheme="minorEastAsia" w:eastAsiaTheme="minorEastAsia" w:cstheme="minorEastAsia"/>
          <w:b/>
          <w:bCs/>
          <w:color w:val="auto"/>
          <w:sz w:val="21"/>
          <w:szCs w:val="21"/>
          <w:highlight w:val="none"/>
        </w:rPr>
        <w:t>响应文件的组成</w:t>
      </w:r>
      <w:bookmarkEnd w:id="119"/>
      <w:bookmarkEnd w:id="120"/>
      <w:bookmarkEnd w:id="121"/>
      <w:bookmarkEnd w:id="122"/>
      <w:bookmarkEnd w:id="123"/>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竞选人</w:t>
      </w:r>
      <w:r>
        <w:rPr>
          <w:rFonts w:hint="eastAsia" w:asciiTheme="minorEastAsia" w:hAnsiTheme="minorEastAsia" w:eastAsiaTheme="minorEastAsia" w:cstheme="minorEastAsia"/>
          <w:b w:val="0"/>
          <w:bCs w:val="0"/>
          <w:color w:val="auto"/>
          <w:sz w:val="21"/>
          <w:szCs w:val="21"/>
          <w:highlight w:val="none"/>
        </w:rPr>
        <w:t>编写的响应文件应编排为四部分：响应报价文件</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资格性、符合性审查文件；商务文件</w:t>
      </w:r>
      <w:r>
        <w:rPr>
          <w:rFonts w:hint="eastAsia" w:asciiTheme="minorEastAsia" w:hAnsiTheme="minorEastAsia" w:eastAsiaTheme="minorEastAsia" w:cstheme="minorEastAsia"/>
          <w:b w:val="0"/>
          <w:bCs w:val="0"/>
          <w:color w:val="auto"/>
          <w:sz w:val="21"/>
          <w:szCs w:val="21"/>
          <w:highlight w:val="none"/>
          <w:lang w:eastAsia="zh-CN"/>
        </w:rPr>
        <w:t>；技术服务</w:t>
      </w:r>
      <w:r>
        <w:rPr>
          <w:rFonts w:hint="eastAsia" w:asciiTheme="minorEastAsia" w:hAnsiTheme="minorEastAsia" w:eastAsiaTheme="minorEastAsia" w:cstheme="minorEastAsia"/>
          <w:b w:val="0"/>
          <w:bCs w:val="0"/>
          <w:color w:val="auto"/>
          <w:sz w:val="21"/>
          <w:szCs w:val="21"/>
          <w:highlight w:val="none"/>
        </w:rPr>
        <w:t>方案文件。</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响应文件应包含但不限于以下内容：</w:t>
      </w:r>
      <w:r>
        <w:rPr>
          <w:rFonts w:hint="eastAsia" w:asciiTheme="minorEastAsia" w:hAnsiTheme="minorEastAsia" w:eastAsiaTheme="minorEastAsia" w:cstheme="minorEastAsia"/>
          <w:b w:val="0"/>
          <w:bCs w:val="0"/>
          <w:color w:val="auto"/>
          <w:sz w:val="21"/>
          <w:szCs w:val="21"/>
          <w:highlight w:val="none"/>
          <w:lang w:eastAsia="zh-CN"/>
        </w:rPr>
        <w:t>①</w:t>
      </w:r>
      <w:r>
        <w:rPr>
          <w:rFonts w:hint="eastAsia" w:asciiTheme="minorEastAsia" w:hAnsiTheme="minorEastAsia" w:eastAsiaTheme="minorEastAsia" w:cstheme="minorEastAsia"/>
          <w:b w:val="0"/>
          <w:bCs w:val="0"/>
          <w:color w:val="auto"/>
          <w:sz w:val="21"/>
          <w:szCs w:val="21"/>
          <w:highlight w:val="none"/>
        </w:rPr>
        <w:t>按规定填写的响应函、响应一览表、响应报价表；</w:t>
      </w:r>
      <w:r>
        <w:rPr>
          <w:rFonts w:hint="eastAsia" w:asciiTheme="minorEastAsia" w:hAnsiTheme="minorEastAsia" w:eastAsiaTheme="minorEastAsia" w:cstheme="minorEastAsia"/>
          <w:b w:val="0"/>
          <w:bCs w:val="0"/>
          <w:color w:val="auto"/>
          <w:sz w:val="21"/>
          <w:szCs w:val="21"/>
          <w:highlight w:val="none"/>
          <w:lang w:eastAsia="zh-CN"/>
        </w:rPr>
        <w:t>②</w:t>
      </w:r>
      <w:r>
        <w:rPr>
          <w:rFonts w:hint="eastAsia" w:asciiTheme="minorEastAsia" w:hAnsiTheme="minorEastAsia" w:eastAsiaTheme="minorEastAsia" w:cstheme="minorEastAsia"/>
          <w:b w:val="0"/>
          <w:bCs w:val="0"/>
          <w:color w:val="auto"/>
          <w:sz w:val="21"/>
          <w:szCs w:val="21"/>
          <w:highlight w:val="none"/>
        </w:rPr>
        <w:t>按要求出具的资格证明文件，证明</w:t>
      </w:r>
      <w:r>
        <w:rPr>
          <w:rFonts w:hint="eastAsia" w:asciiTheme="minorEastAsia" w:hAnsiTheme="minorEastAsia" w:eastAsiaTheme="minorEastAsia" w:cstheme="minorEastAsia"/>
          <w:b w:val="0"/>
          <w:bCs w:val="0"/>
          <w:color w:val="auto"/>
          <w:sz w:val="21"/>
          <w:szCs w:val="21"/>
          <w:highlight w:val="none"/>
          <w:lang w:eastAsia="zh-CN"/>
        </w:rPr>
        <w:t>竞选人</w:t>
      </w:r>
      <w:r>
        <w:rPr>
          <w:rFonts w:hint="eastAsia" w:asciiTheme="minorEastAsia" w:hAnsiTheme="minorEastAsia" w:eastAsiaTheme="minorEastAsia" w:cstheme="minorEastAsia"/>
          <w:b w:val="0"/>
          <w:bCs w:val="0"/>
          <w:color w:val="auto"/>
          <w:sz w:val="21"/>
          <w:szCs w:val="21"/>
          <w:highlight w:val="none"/>
        </w:rPr>
        <w:t>是合格的，而且成交后有能力履行合同；</w:t>
      </w:r>
      <w:r>
        <w:rPr>
          <w:rFonts w:hint="eastAsia" w:asciiTheme="minorEastAsia" w:hAnsiTheme="minorEastAsia" w:eastAsiaTheme="minorEastAsia" w:cstheme="minorEastAsia"/>
          <w:b w:val="0"/>
          <w:bCs w:val="0"/>
          <w:color w:val="auto"/>
          <w:sz w:val="21"/>
          <w:szCs w:val="21"/>
          <w:highlight w:val="none"/>
          <w:lang w:eastAsia="zh-CN"/>
        </w:rPr>
        <w:t>③</w:t>
      </w:r>
      <w:r>
        <w:rPr>
          <w:rFonts w:hint="eastAsia" w:asciiTheme="minorEastAsia" w:hAnsiTheme="minorEastAsia" w:eastAsiaTheme="minorEastAsia" w:cstheme="minorEastAsia"/>
          <w:b w:val="0"/>
          <w:bCs w:val="0"/>
          <w:color w:val="auto"/>
          <w:sz w:val="21"/>
          <w:szCs w:val="21"/>
          <w:highlight w:val="none"/>
        </w:rPr>
        <w:t>按规定出具的证明文件，证明</w:t>
      </w:r>
      <w:r>
        <w:rPr>
          <w:rFonts w:hint="eastAsia" w:asciiTheme="minorEastAsia" w:hAnsiTheme="minorEastAsia" w:eastAsiaTheme="minorEastAsia" w:cstheme="minorEastAsia"/>
          <w:b w:val="0"/>
          <w:bCs w:val="0"/>
          <w:color w:val="auto"/>
          <w:sz w:val="21"/>
          <w:szCs w:val="21"/>
          <w:highlight w:val="none"/>
          <w:lang w:eastAsia="zh-CN"/>
        </w:rPr>
        <w:t>竞选人</w:t>
      </w:r>
      <w:r>
        <w:rPr>
          <w:rFonts w:hint="eastAsia" w:asciiTheme="minorEastAsia" w:hAnsiTheme="minorEastAsia" w:eastAsiaTheme="minorEastAsia" w:cstheme="minorEastAsia"/>
          <w:b w:val="0"/>
          <w:bCs w:val="0"/>
          <w:color w:val="auto"/>
          <w:sz w:val="21"/>
          <w:szCs w:val="21"/>
          <w:highlight w:val="none"/>
        </w:rPr>
        <w:t>提供的服务是合格的，而且符合采购文件的规定；</w:t>
      </w:r>
      <w:r>
        <w:rPr>
          <w:rFonts w:hint="eastAsia" w:asciiTheme="minorEastAsia" w:hAnsiTheme="minorEastAsia" w:eastAsiaTheme="minorEastAsia" w:cstheme="minorEastAsia"/>
          <w:b w:val="0"/>
          <w:bCs w:val="0"/>
          <w:color w:val="auto"/>
          <w:sz w:val="21"/>
          <w:szCs w:val="21"/>
          <w:highlight w:val="none"/>
          <w:lang w:eastAsia="zh-CN"/>
        </w:rPr>
        <w:t>④</w:t>
      </w:r>
      <w:r>
        <w:rPr>
          <w:rFonts w:hint="eastAsia" w:asciiTheme="minorEastAsia" w:hAnsiTheme="minorEastAsia" w:eastAsiaTheme="minorEastAsia" w:cstheme="minorEastAsia"/>
          <w:b w:val="0"/>
          <w:bCs w:val="0"/>
          <w:color w:val="auto"/>
          <w:sz w:val="21"/>
          <w:szCs w:val="21"/>
          <w:highlight w:val="none"/>
        </w:rPr>
        <w:t>对采购文件第</w:t>
      </w:r>
      <w:r>
        <w:rPr>
          <w:rFonts w:hint="eastAsia" w:asciiTheme="minorEastAsia" w:hAnsiTheme="minorEastAsia" w:eastAsiaTheme="minorEastAsia" w:cstheme="minorEastAsia"/>
          <w:b w:val="0"/>
          <w:bCs w:val="0"/>
          <w:color w:val="auto"/>
          <w:sz w:val="21"/>
          <w:szCs w:val="21"/>
          <w:highlight w:val="none"/>
          <w:lang w:eastAsia="zh-CN"/>
        </w:rPr>
        <w:t>三</w:t>
      </w:r>
      <w:r>
        <w:rPr>
          <w:rFonts w:hint="eastAsia" w:asciiTheme="minorEastAsia" w:hAnsiTheme="minorEastAsia" w:eastAsiaTheme="minorEastAsia" w:cstheme="minorEastAsia"/>
          <w:b w:val="0"/>
          <w:bCs w:val="0"/>
          <w:color w:val="auto"/>
          <w:sz w:val="21"/>
          <w:szCs w:val="21"/>
          <w:highlight w:val="none"/>
        </w:rPr>
        <w:t>章作出的书面响应，包括但不限于技术及商务要求等；</w:t>
      </w:r>
      <w:r>
        <w:rPr>
          <w:rFonts w:hint="eastAsia" w:asciiTheme="minorEastAsia" w:hAnsiTheme="minorEastAsia" w:eastAsiaTheme="minorEastAsia" w:cstheme="minorEastAsia"/>
          <w:b w:val="0"/>
          <w:bCs w:val="0"/>
          <w:color w:val="auto"/>
          <w:sz w:val="21"/>
          <w:szCs w:val="21"/>
          <w:highlight w:val="none"/>
          <w:lang w:eastAsia="zh-CN"/>
        </w:rPr>
        <w:t>⑤竞选人</w:t>
      </w:r>
      <w:r>
        <w:rPr>
          <w:rFonts w:hint="eastAsia" w:asciiTheme="minorEastAsia" w:hAnsiTheme="minorEastAsia" w:eastAsiaTheme="minorEastAsia" w:cstheme="minorEastAsia"/>
          <w:b w:val="0"/>
          <w:bCs w:val="0"/>
          <w:color w:val="auto"/>
          <w:sz w:val="21"/>
          <w:szCs w:val="21"/>
          <w:highlight w:val="none"/>
        </w:rPr>
        <w:t>认为须提交与评分内容相关的其他资料。</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竞选人</w:t>
      </w:r>
      <w:r>
        <w:rPr>
          <w:rFonts w:hint="eastAsia" w:asciiTheme="minorEastAsia" w:hAnsiTheme="minorEastAsia" w:eastAsiaTheme="minorEastAsia" w:cstheme="minorEastAsia"/>
          <w:b w:val="0"/>
          <w:bCs w:val="0"/>
          <w:color w:val="auto"/>
          <w:sz w:val="21"/>
          <w:szCs w:val="21"/>
          <w:highlight w:val="none"/>
        </w:rPr>
        <w:t>须按采购文件要求编制带有目录和页码并装订成册的响应文件。</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竞选人</w:t>
      </w:r>
      <w:r>
        <w:rPr>
          <w:rFonts w:hint="eastAsia" w:asciiTheme="minorEastAsia" w:hAnsiTheme="minorEastAsia" w:eastAsiaTheme="minorEastAsia" w:cstheme="minorEastAsia"/>
          <w:b w:val="0"/>
          <w:bCs w:val="0"/>
          <w:color w:val="auto"/>
          <w:sz w:val="21"/>
          <w:szCs w:val="21"/>
          <w:highlight w:val="none"/>
        </w:rPr>
        <w:t>须自行承担因其响应文件的任何错漏而导致的一切后果。</w:t>
      </w:r>
    </w:p>
    <w:p>
      <w:pPr>
        <w:numPr>
          <w:ilvl w:val="0"/>
          <w:numId w:val="10"/>
        </w:numPr>
        <w:spacing w:line="360" w:lineRule="auto"/>
        <w:ind w:left="425" w:leftChars="0" w:hanging="425" w:firstLineChars="0"/>
        <w:outlineLvl w:val="9"/>
        <w:rPr>
          <w:rFonts w:hint="eastAsia" w:asciiTheme="minorEastAsia" w:hAnsiTheme="minorEastAsia" w:eastAsiaTheme="minorEastAsia" w:cstheme="minorEastAsia"/>
          <w:b/>
          <w:bCs/>
          <w:color w:val="auto"/>
          <w:sz w:val="21"/>
          <w:szCs w:val="21"/>
          <w:highlight w:val="none"/>
        </w:rPr>
      </w:pPr>
      <w:bookmarkStart w:id="124" w:name="_Toc14981"/>
      <w:bookmarkStart w:id="125" w:name="_Toc27426"/>
      <w:bookmarkStart w:id="126" w:name="_Toc2341710"/>
      <w:bookmarkStart w:id="127" w:name="_Toc25511"/>
      <w:bookmarkStart w:id="128" w:name="_Toc2341285"/>
      <w:r>
        <w:rPr>
          <w:rFonts w:hint="eastAsia" w:asciiTheme="minorEastAsia" w:hAnsiTheme="minorEastAsia" w:eastAsiaTheme="minorEastAsia" w:cstheme="minorEastAsia"/>
          <w:b/>
          <w:bCs/>
          <w:color w:val="auto"/>
          <w:sz w:val="21"/>
          <w:szCs w:val="21"/>
          <w:highlight w:val="none"/>
        </w:rPr>
        <w:t>响应文件的修改和撤回</w:t>
      </w:r>
      <w:bookmarkEnd w:id="124"/>
      <w:bookmarkEnd w:id="125"/>
      <w:bookmarkEnd w:id="126"/>
      <w:bookmarkEnd w:id="127"/>
      <w:bookmarkEnd w:id="128"/>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响应文件须一次报出，不得更改。从响应截止时间起至评审有效期前，竞选人不得撤回其响应文件。</w:t>
      </w:r>
    </w:p>
    <w:p>
      <w:pPr>
        <w:pStyle w:val="5"/>
        <w:numPr>
          <w:ilvl w:val="1"/>
          <w:numId w:val="10"/>
        </w:numPr>
        <w:snapToGrid w:val="0"/>
        <w:spacing w:before="120" w:line="360" w:lineRule="auto"/>
        <w:ind w:left="420" w:leftChars="0" w:hanging="420" w:firstLineChars="0"/>
        <w:outlineLvl w:val="9"/>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采购人对因不可抗力事件所造成响应文件的损坏、丢失不承担任何责任。</w:t>
      </w:r>
    </w:p>
    <w:p>
      <w:pPr>
        <w:numPr>
          <w:ilvl w:val="0"/>
          <w:numId w:val="10"/>
        </w:numPr>
        <w:spacing w:line="360" w:lineRule="auto"/>
        <w:ind w:left="425" w:leftChars="0" w:hanging="425" w:firstLineChars="0"/>
        <w:outlineLvl w:val="9"/>
        <w:rPr>
          <w:rFonts w:hint="eastAsia" w:asciiTheme="minorEastAsia" w:hAnsiTheme="minorEastAsia" w:eastAsiaTheme="minorEastAsia" w:cstheme="minorEastAsia"/>
          <w:b/>
          <w:bCs/>
          <w:color w:val="auto"/>
          <w:sz w:val="21"/>
          <w:szCs w:val="21"/>
          <w:highlight w:val="none"/>
        </w:rPr>
      </w:pPr>
      <w:bookmarkStart w:id="129" w:name="_Toc24061"/>
      <w:bookmarkStart w:id="130" w:name="_Toc28689"/>
      <w:bookmarkStart w:id="131" w:name="_Toc11195"/>
      <w:r>
        <w:rPr>
          <w:rFonts w:hint="eastAsia" w:asciiTheme="minorEastAsia" w:hAnsiTheme="minorEastAsia" w:eastAsiaTheme="minorEastAsia" w:cstheme="minorEastAsia"/>
          <w:b/>
          <w:bCs/>
          <w:color w:val="auto"/>
          <w:sz w:val="21"/>
          <w:szCs w:val="21"/>
          <w:highlight w:val="none"/>
          <w:lang w:eastAsia="zh-CN"/>
        </w:rPr>
        <w:t>响应报价有效期</w:t>
      </w:r>
      <w:bookmarkEnd w:id="129"/>
      <w:bookmarkEnd w:id="130"/>
      <w:bookmarkEnd w:id="131"/>
    </w:p>
    <w:p>
      <w:pPr>
        <w:numPr>
          <w:ilvl w:val="0"/>
          <w:numId w:val="0"/>
        </w:numPr>
        <w:spacing w:line="360" w:lineRule="auto"/>
        <w:ind w:leftChars="0"/>
        <w:outlineLvl w:val="9"/>
        <w:rPr>
          <w:rFonts w:hint="eastAsia" w:asciiTheme="minorEastAsia" w:hAnsiTheme="minorEastAsia" w:eastAsiaTheme="minorEastAsia" w:cstheme="minorEastAsia"/>
          <w:b w:val="0"/>
          <w:bCs w:val="0"/>
          <w:color w:val="auto"/>
          <w:sz w:val="21"/>
          <w:szCs w:val="21"/>
          <w:highlight w:val="none"/>
        </w:rPr>
      </w:pPr>
      <w:bookmarkStart w:id="132" w:name="_Toc17202"/>
      <w:bookmarkStart w:id="133" w:name="_Toc995"/>
      <w:bookmarkStart w:id="134" w:name="_Toc17312"/>
      <w:r>
        <w:rPr>
          <w:rFonts w:hint="eastAsia" w:asciiTheme="minorEastAsia" w:hAnsiTheme="minorEastAsia" w:eastAsiaTheme="minorEastAsia" w:cstheme="minorEastAsia"/>
          <w:b w:val="0"/>
          <w:bCs w:val="0"/>
          <w:color w:val="auto"/>
          <w:sz w:val="21"/>
          <w:szCs w:val="21"/>
          <w:highlight w:val="none"/>
          <w:lang w:eastAsia="zh-CN"/>
        </w:rPr>
        <w:t>响应报价自报价截止之日起90天内有效。若报价被接受则直至合同生效时止始终有效。</w:t>
      </w:r>
      <w:bookmarkEnd w:id="132"/>
      <w:bookmarkEnd w:id="133"/>
      <w:bookmarkEnd w:id="134"/>
    </w:p>
    <w:p>
      <w:pPr>
        <w:pStyle w:val="5"/>
        <w:numPr>
          <w:ilvl w:val="0"/>
          <w:numId w:val="7"/>
        </w:numPr>
        <w:snapToGrid w:val="0"/>
        <w:spacing w:before="120" w:line="360" w:lineRule="auto"/>
        <w:ind w:left="0" w:leftChars="0" w:firstLine="0" w:firstLineChars="0"/>
        <w:outlineLvl w:val="1"/>
        <w:rPr>
          <w:rFonts w:hint="eastAsia" w:asciiTheme="minorEastAsia" w:hAnsiTheme="minorEastAsia" w:eastAsiaTheme="minorEastAsia" w:cstheme="minorEastAsia"/>
          <w:b/>
          <w:color w:val="auto"/>
          <w:sz w:val="21"/>
          <w:szCs w:val="21"/>
          <w:highlight w:val="none"/>
        </w:rPr>
      </w:pPr>
      <w:bookmarkStart w:id="135" w:name="_Toc334797735"/>
      <w:bookmarkStart w:id="136" w:name="_Toc2341904"/>
      <w:bookmarkStart w:id="137" w:name="_Toc2991"/>
      <w:bookmarkStart w:id="138" w:name="_Toc26147"/>
      <w:bookmarkStart w:id="139" w:name="_Toc238282335"/>
      <w:bookmarkStart w:id="140" w:name="_Toc228899502"/>
      <w:bookmarkStart w:id="141" w:name="_Toc2341655"/>
      <w:bookmarkStart w:id="142" w:name="_Toc9203"/>
      <w:bookmarkStart w:id="143" w:name="_Toc185747581"/>
      <w:bookmarkStart w:id="144" w:name="_Toc228644973"/>
      <w:bookmarkStart w:id="145" w:name="_Toc225565948"/>
      <w:bookmarkStart w:id="146" w:name="_Toc224435721"/>
      <w:bookmarkStart w:id="147" w:name="_Toc533236379"/>
      <w:bookmarkStart w:id="148" w:name="_Toc2341286"/>
      <w:bookmarkStart w:id="149" w:name="_Toc223939096"/>
      <w:bookmarkStart w:id="150" w:name="_Toc2341711"/>
      <w:bookmarkStart w:id="151" w:name="_Toc61327402"/>
      <w:bookmarkStart w:id="152" w:name="_Toc130697187"/>
      <w:bookmarkStart w:id="153" w:name="_Toc153615292"/>
      <w:bookmarkStart w:id="154" w:name="_Toc130695595"/>
      <w:r>
        <w:rPr>
          <w:rFonts w:hint="eastAsia" w:asciiTheme="minorEastAsia" w:hAnsiTheme="minorEastAsia" w:eastAsiaTheme="minorEastAsia" w:cstheme="minorEastAsia"/>
          <w:b/>
          <w:color w:val="auto"/>
          <w:sz w:val="21"/>
          <w:szCs w:val="21"/>
          <w:highlight w:val="none"/>
        </w:rPr>
        <w:t>响应总则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5"/>
        <w:numPr>
          <w:ilvl w:val="0"/>
          <w:numId w:val="11"/>
        </w:numPr>
        <w:snapToGrid w:val="0"/>
        <w:spacing w:before="120" w:line="360" w:lineRule="auto"/>
        <w:ind w:left="425" w:leftChars="0" w:hanging="425" w:firstLineChars="0"/>
        <w:outlineLvl w:val="9"/>
        <w:rPr>
          <w:rFonts w:hint="eastAsia" w:asciiTheme="minorEastAsia" w:hAnsiTheme="minorEastAsia" w:eastAsiaTheme="minorEastAsia" w:cstheme="minorEastAsia"/>
          <w:b w:val="0"/>
          <w:bCs w:val="0"/>
          <w:color w:val="auto"/>
          <w:sz w:val="21"/>
          <w:szCs w:val="21"/>
        </w:rPr>
      </w:pPr>
      <w:bookmarkStart w:id="155" w:name="_Toc20735"/>
      <w:bookmarkStart w:id="156" w:name="_Toc23836"/>
      <w:bookmarkStart w:id="157" w:name="_Toc2341287"/>
      <w:bookmarkStart w:id="158" w:name="_Toc21770"/>
      <w:bookmarkStart w:id="159" w:name="_Toc2341712"/>
      <w:r>
        <w:rPr>
          <w:rFonts w:hint="eastAsia" w:asciiTheme="minorEastAsia" w:hAnsiTheme="minorEastAsia" w:eastAsiaTheme="minorEastAsia" w:cstheme="minorEastAsia"/>
          <w:b w:val="0"/>
          <w:bCs w:val="0"/>
          <w:color w:val="auto"/>
          <w:sz w:val="21"/>
          <w:szCs w:val="21"/>
          <w:highlight w:val="none"/>
        </w:rPr>
        <w:t>全部响应文件应</w:t>
      </w:r>
      <w:r>
        <w:rPr>
          <w:rFonts w:hint="eastAsia" w:asciiTheme="minorEastAsia" w:hAnsiTheme="minorEastAsia" w:eastAsiaTheme="minorEastAsia" w:cstheme="minorEastAsia"/>
          <w:b w:val="0"/>
          <w:bCs w:val="0"/>
          <w:color w:val="auto"/>
          <w:sz w:val="21"/>
          <w:szCs w:val="21"/>
          <w:highlight w:val="none"/>
          <w:u w:val="single"/>
        </w:rPr>
        <w:t>一式三</w:t>
      </w:r>
      <w:r>
        <w:rPr>
          <w:rFonts w:hint="eastAsia" w:asciiTheme="minorEastAsia" w:hAnsiTheme="minorEastAsia" w:eastAsiaTheme="minorEastAsia" w:cstheme="minorEastAsia"/>
          <w:b w:val="0"/>
          <w:bCs w:val="0"/>
          <w:color w:val="auto"/>
          <w:sz w:val="21"/>
          <w:szCs w:val="21"/>
          <w:highlight w:val="none"/>
        </w:rPr>
        <w:t>份，其中正本</w:t>
      </w:r>
      <w:r>
        <w:rPr>
          <w:rFonts w:hint="eastAsia" w:asciiTheme="minorEastAsia" w:hAnsiTheme="minorEastAsia" w:eastAsiaTheme="minorEastAsia" w:cstheme="minorEastAsia"/>
          <w:b w:val="0"/>
          <w:bCs w:val="0"/>
          <w:color w:val="auto"/>
          <w:sz w:val="21"/>
          <w:szCs w:val="21"/>
          <w:highlight w:val="none"/>
          <w:u w:val="single"/>
        </w:rPr>
        <w:t>一</w:t>
      </w:r>
      <w:r>
        <w:rPr>
          <w:rFonts w:hint="eastAsia" w:asciiTheme="minorEastAsia" w:hAnsiTheme="minorEastAsia" w:eastAsiaTheme="minorEastAsia" w:cstheme="minorEastAsia"/>
          <w:b w:val="0"/>
          <w:bCs w:val="0"/>
          <w:color w:val="auto"/>
          <w:sz w:val="21"/>
          <w:szCs w:val="21"/>
          <w:highlight w:val="none"/>
        </w:rPr>
        <w:t>份</w:t>
      </w:r>
      <w:r>
        <w:rPr>
          <w:rFonts w:hint="eastAsia" w:asciiTheme="minorEastAsia" w:hAnsiTheme="minorEastAsia" w:eastAsiaTheme="minorEastAsia" w:cstheme="minorEastAsia"/>
          <w:b w:val="0"/>
          <w:bCs w:val="0"/>
          <w:color w:val="auto"/>
          <w:sz w:val="21"/>
          <w:szCs w:val="21"/>
          <w:highlight w:val="none"/>
          <w:lang w:eastAsia="zh-CN"/>
        </w:rPr>
        <w:t>（附电子文件</w:t>
      </w:r>
      <w:r>
        <w:rPr>
          <w:rFonts w:hint="eastAsia" w:asciiTheme="minorEastAsia" w:hAnsiTheme="minorEastAsia" w:eastAsiaTheme="minorEastAsia" w:cstheme="minorEastAsia"/>
          <w:b w:val="0"/>
          <w:bCs w:val="0"/>
          <w:color w:val="auto"/>
          <w:sz w:val="21"/>
          <w:szCs w:val="21"/>
          <w:highlight w:val="none"/>
          <w:lang w:val="en-US" w:eastAsia="zh-CN"/>
        </w:rPr>
        <w:t>1份）</w:t>
      </w:r>
      <w:r>
        <w:rPr>
          <w:rFonts w:hint="eastAsia" w:asciiTheme="minorEastAsia" w:hAnsiTheme="minorEastAsia" w:eastAsiaTheme="minorEastAsia" w:cstheme="minorEastAsia"/>
          <w:b w:val="0"/>
          <w:bCs w:val="0"/>
          <w:color w:val="auto"/>
          <w:sz w:val="21"/>
          <w:szCs w:val="21"/>
          <w:highlight w:val="none"/>
        </w:rPr>
        <w:t>，副本</w:t>
      </w:r>
      <w:r>
        <w:rPr>
          <w:rFonts w:hint="eastAsia" w:asciiTheme="minorEastAsia" w:hAnsiTheme="minorEastAsia" w:eastAsiaTheme="minorEastAsia" w:cstheme="minorEastAsia"/>
          <w:b w:val="0"/>
          <w:bCs w:val="0"/>
          <w:color w:val="auto"/>
          <w:sz w:val="21"/>
          <w:szCs w:val="21"/>
          <w:highlight w:val="none"/>
          <w:u w:val="single"/>
        </w:rPr>
        <w:t>二</w:t>
      </w:r>
      <w:r>
        <w:rPr>
          <w:rFonts w:hint="eastAsia" w:asciiTheme="minorEastAsia" w:hAnsiTheme="minorEastAsia" w:eastAsiaTheme="minorEastAsia" w:cstheme="minorEastAsia"/>
          <w:b w:val="0"/>
          <w:bCs w:val="0"/>
          <w:color w:val="auto"/>
          <w:sz w:val="21"/>
          <w:szCs w:val="21"/>
          <w:highlight w:val="none"/>
        </w:rPr>
        <w:t>份。所有响应文件应用</w:t>
      </w:r>
      <w:r>
        <w:rPr>
          <w:rFonts w:hint="eastAsia" w:asciiTheme="minorEastAsia" w:hAnsiTheme="minorEastAsia" w:eastAsiaTheme="minorEastAsia" w:cstheme="minorEastAsia"/>
          <w:b w:val="0"/>
          <w:bCs w:val="0"/>
          <w:color w:val="auto"/>
          <w:sz w:val="21"/>
          <w:szCs w:val="21"/>
          <w:highlight w:val="none"/>
          <w:u w:val="single"/>
        </w:rPr>
        <w:t>A4</w:t>
      </w:r>
      <w:r>
        <w:rPr>
          <w:rFonts w:hint="eastAsia" w:asciiTheme="minorEastAsia" w:hAnsiTheme="minorEastAsia" w:eastAsiaTheme="minorEastAsia" w:cstheme="minorEastAsia"/>
          <w:b w:val="0"/>
          <w:bCs w:val="0"/>
          <w:color w:val="auto"/>
          <w:sz w:val="21"/>
          <w:szCs w:val="21"/>
          <w:highlight w:val="none"/>
        </w:rPr>
        <w:t>规格纸打印（图纸可按其他规格），并装订成册。响应文件于封面注明“正本”和“副本”。如</w:t>
      </w:r>
      <w:r>
        <w:rPr>
          <w:rFonts w:hint="eastAsia" w:asciiTheme="minorEastAsia" w:hAnsiTheme="minorEastAsia" w:eastAsiaTheme="minorEastAsia" w:cstheme="minorEastAsia"/>
          <w:b w:val="0"/>
          <w:bCs w:val="0"/>
          <w:color w:val="auto"/>
          <w:sz w:val="21"/>
          <w:szCs w:val="21"/>
        </w:rPr>
        <w:t>果正本与副本不符，应以正本为准。响应文件应由</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的合法授权代表正式签署，任何更改（如果有的话）应由原签署人签字。所有不完整的响应将被拒绝。无论响应结果如何，</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的全部响应文件均不退回。</w:t>
      </w:r>
      <w:bookmarkEnd w:id="155"/>
      <w:bookmarkEnd w:id="156"/>
      <w:bookmarkEnd w:id="157"/>
      <w:bookmarkEnd w:id="158"/>
      <w:bookmarkEnd w:id="159"/>
    </w:p>
    <w:p>
      <w:pPr>
        <w:pStyle w:val="5"/>
        <w:numPr>
          <w:ilvl w:val="0"/>
          <w:numId w:val="11"/>
        </w:numPr>
        <w:snapToGrid w:val="0"/>
        <w:spacing w:before="120" w:line="360" w:lineRule="auto"/>
        <w:ind w:left="425" w:leftChars="0" w:hanging="425" w:firstLineChars="0"/>
        <w:outlineLvl w:val="9"/>
        <w:rPr>
          <w:rFonts w:hint="eastAsia" w:asciiTheme="minorEastAsia" w:hAnsiTheme="minorEastAsia" w:eastAsiaTheme="minorEastAsia" w:cstheme="minorEastAsia"/>
          <w:b w:val="0"/>
          <w:bCs w:val="0"/>
          <w:color w:val="auto"/>
          <w:sz w:val="21"/>
          <w:szCs w:val="21"/>
        </w:rPr>
      </w:pPr>
      <w:bookmarkStart w:id="160" w:name="_Toc15431"/>
      <w:bookmarkStart w:id="161" w:name="_Toc2341288"/>
      <w:bookmarkStart w:id="162" w:name="_Toc27847"/>
      <w:bookmarkStart w:id="163" w:name="_Toc2341713"/>
      <w:bookmarkStart w:id="164" w:name="_Toc5938"/>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应对响应内容提供完整详细的技术（服务）说明，如</w:t>
      </w:r>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对指定的技术（服务）要求建议做任何改动，应在响应文件中清楚地注明。</w:t>
      </w:r>
      <w:bookmarkEnd w:id="160"/>
      <w:bookmarkEnd w:id="161"/>
      <w:bookmarkEnd w:id="162"/>
      <w:bookmarkEnd w:id="163"/>
      <w:bookmarkEnd w:id="164"/>
    </w:p>
    <w:p>
      <w:pPr>
        <w:pStyle w:val="5"/>
        <w:numPr>
          <w:ilvl w:val="0"/>
          <w:numId w:val="11"/>
        </w:numPr>
        <w:snapToGrid w:val="0"/>
        <w:spacing w:before="120" w:line="360" w:lineRule="auto"/>
        <w:ind w:left="425" w:leftChars="0" w:hanging="425" w:firstLineChars="0"/>
        <w:outlineLvl w:val="9"/>
        <w:rPr>
          <w:rFonts w:hint="eastAsia" w:asciiTheme="minorEastAsia" w:hAnsiTheme="minorEastAsia" w:eastAsiaTheme="minorEastAsia" w:cstheme="minorEastAsia"/>
          <w:b w:val="0"/>
          <w:bCs w:val="0"/>
          <w:color w:val="auto"/>
          <w:sz w:val="21"/>
          <w:szCs w:val="21"/>
        </w:rPr>
      </w:pPr>
      <w:bookmarkStart w:id="165" w:name="_Toc14014"/>
      <w:bookmarkStart w:id="166" w:name="_Toc8700"/>
      <w:bookmarkStart w:id="167" w:name="_Toc13918"/>
      <w:bookmarkStart w:id="168" w:name="_Toc2341714"/>
      <w:bookmarkStart w:id="169" w:name="_Toc2341289"/>
      <w:r>
        <w:rPr>
          <w:rFonts w:hint="eastAsia" w:asciiTheme="minorEastAsia" w:hAnsiTheme="minorEastAsia" w:eastAsiaTheme="minorEastAsia" w:cstheme="minorEastAsia"/>
          <w:b w:val="0"/>
          <w:bCs w:val="0"/>
          <w:color w:val="auto"/>
          <w:sz w:val="21"/>
          <w:szCs w:val="21"/>
          <w:lang w:eastAsia="zh-CN"/>
        </w:rPr>
        <w:t>竞选人</w:t>
      </w:r>
      <w:r>
        <w:rPr>
          <w:rFonts w:hint="eastAsia" w:asciiTheme="minorEastAsia" w:hAnsiTheme="minorEastAsia" w:eastAsiaTheme="minorEastAsia" w:cstheme="minorEastAsia"/>
          <w:b w:val="0"/>
          <w:bCs w:val="0"/>
          <w:color w:val="auto"/>
          <w:sz w:val="21"/>
          <w:szCs w:val="21"/>
        </w:rPr>
        <w:t>资格文件视为响应文件不可分割的一部分。</w:t>
      </w:r>
      <w:bookmarkEnd w:id="165"/>
      <w:bookmarkEnd w:id="166"/>
      <w:bookmarkEnd w:id="167"/>
      <w:bookmarkEnd w:id="168"/>
      <w:bookmarkEnd w:id="169"/>
    </w:p>
    <w:p>
      <w:pPr>
        <w:pStyle w:val="5"/>
        <w:numPr>
          <w:ilvl w:val="0"/>
          <w:numId w:val="11"/>
        </w:numPr>
        <w:snapToGrid w:val="0"/>
        <w:spacing w:before="120" w:line="360" w:lineRule="auto"/>
        <w:ind w:left="425" w:leftChars="0" w:hanging="425" w:firstLineChars="0"/>
        <w:outlineLvl w:val="9"/>
        <w:rPr>
          <w:rFonts w:hint="eastAsia" w:asciiTheme="minorEastAsia" w:hAnsiTheme="minorEastAsia" w:eastAsiaTheme="minorEastAsia" w:cstheme="minorEastAsia"/>
          <w:b w:val="0"/>
          <w:bCs w:val="0"/>
          <w:color w:val="auto"/>
          <w:sz w:val="21"/>
          <w:szCs w:val="21"/>
        </w:rPr>
      </w:pPr>
      <w:bookmarkStart w:id="170" w:name="_Toc2341715"/>
      <w:bookmarkStart w:id="171" w:name="_Toc23281"/>
      <w:bookmarkStart w:id="172" w:name="_Toc2341290"/>
      <w:bookmarkStart w:id="173" w:name="_Toc11936"/>
      <w:bookmarkStart w:id="174" w:name="_Toc18955"/>
      <w:r>
        <w:rPr>
          <w:rFonts w:hint="eastAsia" w:asciiTheme="minorEastAsia" w:hAnsiTheme="minorEastAsia" w:eastAsiaTheme="minorEastAsia" w:cstheme="minorEastAsia"/>
          <w:b w:val="0"/>
          <w:bCs w:val="0"/>
          <w:color w:val="auto"/>
          <w:sz w:val="21"/>
          <w:szCs w:val="21"/>
        </w:rPr>
        <w:t>所有响应文件应在响应截止时间前送达评审地点，并交予采购人，任何迟于截止时间的响应将被拒绝。</w:t>
      </w:r>
      <w:bookmarkEnd w:id="170"/>
      <w:bookmarkEnd w:id="171"/>
      <w:bookmarkEnd w:id="172"/>
      <w:bookmarkEnd w:id="173"/>
      <w:bookmarkEnd w:id="174"/>
    </w:p>
    <w:p>
      <w:pPr>
        <w:pStyle w:val="5"/>
        <w:numPr>
          <w:ilvl w:val="0"/>
          <w:numId w:val="11"/>
        </w:numPr>
        <w:snapToGrid w:val="0"/>
        <w:spacing w:before="120" w:line="360" w:lineRule="auto"/>
        <w:ind w:left="425" w:leftChars="0" w:hanging="425" w:firstLineChars="0"/>
        <w:outlineLvl w:val="9"/>
        <w:rPr>
          <w:rFonts w:hint="eastAsia" w:asciiTheme="minorEastAsia" w:hAnsiTheme="minorEastAsia" w:eastAsiaTheme="minorEastAsia" w:cstheme="minorEastAsia"/>
          <w:b w:val="0"/>
          <w:bCs w:val="0"/>
          <w:color w:val="auto"/>
          <w:sz w:val="21"/>
          <w:szCs w:val="21"/>
        </w:rPr>
      </w:pPr>
      <w:bookmarkStart w:id="175" w:name="_Toc2341716"/>
      <w:bookmarkStart w:id="176" w:name="_Toc2341291"/>
      <w:bookmarkStart w:id="177" w:name="_Toc1033"/>
      <w:bookmarkStart w:id="178" w:name="_Toc17302"/>
      <w:bookmarkStart w:id="179" w:name="_Toc7270"/>
      <w:r>
        <w:rPr>
          <w:rFonts w:hint="eastAsia" w:asciiTheme="minorEastAsia" w:hAnsiTheme="minorEastAsia" w:eastAsiaTheme="minorEastAsia" w:cstheme="minorEastAsia"/>
          <w:b w:val="0"/>
          <w:bCs w:val="0"/>
          <w:color w:val="auto"/>
          <w:sz w:val="21"/>
          <w:szCs w:val="21"/>
        </w:rPr>
        <w:t>所有响应文件必须封入密封完好的信封或包装，封口加盖响应单位公章，</w:t>
      </w:r>
      <w:r>
        <w:rPr>
          <w:rFonts w:hint="eastAsia" w:asciiTheme="minorEastAsia" w:hAnsiTheme="minorEastAsia" w:eastAsiaTheme="minorEastAsia" w:cstheme="minorEastAsia"/>
          <w:b w:val="0"/>
          <w:bCs w:val="0"/>
          <w:color w:val="auto"/>
          <w:sz w:val="21"/>
          <w:szCs w:val="21"/>
          <w:lang w:eastAsia="zh-CN"/>
        </w:rPr>
        <w:t>包装封面参考格式见采购文件第</w:t>
      </w:r>
      <w:bookmarkEnd w:id="175"/>
      <w:bookmarkEnd w:id="176"/>
      <w:r>
        <w:rPr>
          <w:rFonts w:hint="eastAsia" w:asciiTheme="minorEastAsia" w:hAnsiTheme="minorEastAsia" w:eastAsiaTheme="minorEastAsia" w:cstheme="minorEastAsia"/>
          <w:b w:val="0"/>
          <w:bCs w:val="0"/>
          <w:color w:val="auto"/>
          <w:sz w:val="21"/>
          <w:szCs w:val="21"/>
          <w:lang w:eastAsia="zh-CN"/>
        </w:rPr>
        <w:t>五章响应文件格式。</w:t>
      </w:r>
      <w:bookmarkEnd w:id="177"/>
      <w:bookmarkEnd w:id="178"/>
      <w:bookmarkEnd w:id="179"/>
      <w:r>
        <w:rPr>
          <w:rFonts w:hint="eastAsia" w:asciiTheme="minorEastAsia" w:hAnsiTheme="minorEastAsia" w:eastAsiaTheme="minorEastAsia" w:cstheme="minorEastAsia"/>
          <w:b w:val="0"/>
          <w:bCs w:val="0"/>
          <w:color w:val="auto"/>
          <w:sz w:val="21"/>
          <w:szCs w:val="21"/>
        </w:rPr>
        <w:t xml:space="preserve"> </w:t>
      </w:r>
    </w:p>
    <w:p>
      <w:pPr>
        <w:pStyle w:val="5"/>
        <w:numPr>
          <w:ilvl w:val="0"/>
          <w:numId w:val="11"/>
        </w:numPr>
        <w:snapToGrid w:val="0"/>
        <w:spacing w:before="120" w:line="360" w:lineRule="auto"/>
        <w:ind w:left="425" w:leftChars="0" w:hanging="425" w:firstLineChars="0"/>
        <w:outlineLvl w:val="9"/>
        <w:rPr>
          <w:rFonts w:hint="eastAsia" w:asciiTheme="minorEastAsia" w:hAnsiTheme="minorEastAsia" w:eastAsiaTheme="minorEastAsia" w:cstheme="minorEastAsia"/>
          <w:b w:val="0"/>
          <w:bCs w:val="0"/>
          <w:color w:val="auto"/>
          <w:sz w:val="21"/>
          <w:szCs w:val="21"/>
        </w:rPr>
      </w:pPr>
      <w:bookmarkStart w:id="180" w:name="_Toc21357"/>
      <w:bookmarkStart w:id="181" w:name="_Toc23869"/>
      <w:bookmarkStart w:id="182" w:name="_Toc21777"/>
      <w:r>
        <w:rPr>
          <w:rFonts w:hint="eastAsia" w:asciiTheme="minorEastAsia" w:hAnsiTheme="minorEastAsia" w:eastAsiaTheme="minorEastAsia" w:cstheme="minorEastAsia"/>
          <w:b w:val="0"/>
          <w:bCs w:val="0"/>
          <w:color w:val="auto"/>
          <w:sz w:val="21"/>
          <w:szCs w:val="21"/>
        </w:rPr>
        <w:t>采购人不接受电报、电话、电传、传真等非约定形式响应。</w:t>
      </w:r>
      <w:bookmarkEnd w:id="180"/>
      <w:bookmarkEnd w:id="181"/>
      <w:bookmarkEnd w:id="182"/>
    </w:p>
    <w:bookmarkEnd w:id="151"/>
    <w:bookmarkEnd w:id="152"/>
    <w:bookmarkEnd w:id="153"/>
    <w:bookmarkEnd w:id="154"/>
    <w:p>
      <w:pPr>
        <w:numPr>
          <w:ilvl w:val="-1"/>
          <w:numId w:val="0"/>
        </w:numPr>
        <w:adjustRightInd w:val="0"/>
        <w:snapToGrid w:val="0"/>
        <w:spacing w:beforeLines="50" w:afterLines="50" w:line="360" w:lineRule="auto"/>
        <w:jc w:val="center"/>
        <w:outlineLvl w:val="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br w:type="page"/>
      </w:r>
    </w:p>
    <w:p>
      <w:pPr>
        <w:numPr>
          <w:ilvl w:val="0"/>
          <w:numId w:val="2"/>
        </w:numPr>
        <w:adjustRightInd w:val="0"/>
        <w:snapToGrid w:val="0"/>
        <w:spacing w:beforeLines="50" w:afterLines="50" w:line="360" w:lineRule="auto"/>
        <w:ind w:left="0" w:leftChars="0" w:firstLine="0" w:firstLineChars="0"/>
        <w:jc w:val="center"/>
        <w:outlineLvl w:val="0"/>
        <w:rPr>
          <w:rFonts w:hint="eastAsia" w:asciiTheme="minorEastAsia" w:hAnsiTheme="minorEastAsia" w:eastAsiaTheme="minorEastAsia" w:cstheme="minorEastAsia"/>
          <w:b/>
          <w:bCs/>
          <w:color w:val="auto"/>
          <w:sz w:val="28"/>
          <w:szCs w:val="28"/>
          <w:lang w:eastAsia="zh-CN"/>
        </w:rPr>
      </w:pPr>
      <w:bookmarkStart w:id="183" w:name="_Toc5692_WPSOffice_Level1"/>
      <w:bookmarkStart w:id="184" w:name="_Toc8969"/>
      <w:bookmarkStart w:id="185" w:name="_Toc7418"/>
      <w:bookmarkStart w:id="186" w:name="_Toc15057"/>
      <w:r>
        <w:rPr>
          <w:rFonts w:hint="eastAsia" w:asciiTheme="minorEastAsia" w:hAnsiTheme="minorEastAsia" w:eastAsiaTheme="minorEastAsia" w:cstheme="minorEastAsia"/>
          <w:b/>
          <w:bCs/>
          <w:color w:val="auto"/>
          <w:sz w:val="28"/>
          <w:szCs w:val="28"/>
          <w:lang w:eastAsia="zh-CN"/>
        </w:rPr>
        <w:t>用户需求书</w:t>
      </w:r>
      <w:bookmarkEnd w:id="8"/>
      <w:bookmarkEnd w:id="9"/>
      <w:bookmarkEnd w:id="10"/>
      <w:bookmarkEnd w:id="183"/>
      <w:bookmarkEnd w:id="184"/>
      <w:bookmarkEnd w:id="185"/>
      <w:bookmarkEnd w:id="186"/>
      <w:bookmarkStart w:id="187" w:name="_Toc2341293"/>
      <w:bookmarkStart w:id="188" w:name="_Toc2341657"/>
      <w:bookmarkStart w:id="189" w:name="_Toc2341718"/>
      <w:bookmarkStart w:id="190" w:name="_Toc2341906"/>
    </w:p>
    <w:p>
      <w:pPr>
        <w:numPr>
          <w:ilvl w:val="0"/>
          <w:numId w:val="12"/>
        </w:numPr>
        <w:spacing w:line="360" w:lineRule="auto"/>
        <w:ind w:left="0" w:leftChars="0" w:firstLine="0" w:firstLineChars="0"/>
        <w:outlineLvl w:val="1"/>
        <w:rPr>
          <w:rFonts w:hint="eastAsia" w:asciiTheme="minorEastAsia" w:hAnsiTheme="minorEastAsia" w:eastAsiaTheme="minorEastAsia" w:cstheme="minorEastAsia"/>
          <w:b/>
          <w:color w:val="auto"/>
          <w:szCs w:val="21"/>
        </w:rPr>
      </w:pPr>
      <w:bookmarkStart w:id="191" w:name="_Toc13052"/>
      <w:r>
        <w:rPr>
          <w:rFonts w:hint="eastAsia" w:asciiTheme="minorEastAsia" w:hAnsiTheme="minorEastAsia" w:eastAsiaTheme="minorEastAsia" w:cstheme="minorEastAsia"/>
          <w:b/>
          <w:color w:val="auto"/>
          <w:szCs w:val="21"/>
          <w:lang w:val="en-US" w:eastAsia="zh-CN"/>
        </w:rPr>
        <w:t>项目</w:t>
      </w:r>
      <w:bookmarkEnd w:id="187"/>
      <w:bookmarkEnd w:id="188"/>
      <w:bookmarkEnd w:id="189"/>
      <w:bookmarkEnd w:id="190"/>
      <w:r>
        <w:rPr>
          <w:rFonts w:hint="eastAsia" w:asciiTheme="minorEastAsia" w:hAnsiTheme="minorEastAsia" w:eastAsiaTheme="minorEastAsia" w:cstheme="minorEastAsia"/>
          <w:b/>
          <w:color w:val="auto"/>
          <w:szCs w:val="21"/>
          <w:lang w:val="en-US" w:eastAsia="zh-CN"/>
        </w:rPr>
        <w:t>需求</w:t>
      </w:r>
      <w:bookmarkEnd w:id="191"/>
    </w:p>
    <w:tbl>
      <w:tblPr>
        <w:tblStyle w:val="13"/>
        <w:tblW w:w="9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260"/>
        <w:gridCol w:w="1539"/>
        <w:gridCol w:w="334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lang w:eastAsia="zh-CN"/>
              </w:rPr>
            </w:pPr>
            <w:r>
              <w:rPr>
                <w:rFonts w:hint="eastAsia" w:ascii="宋体" w:hAnsi="宋体"/>
                <w:bCs/>
                <w:color w:val="auto"/>
                <w:szCs w:val="21"/>
                <w:lang w:eastAsia="zh-CN"/>
              </w:rPr>
              <w:t>序号</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r>
              <w:rPr>
                <w:rFonts w:hint="eastAsia" w:ascii="宋体" w:hAnsi="宋体"/>
                <w:bCs/>
                <w:color w:val="auto"/>
                <w:szCs w:val="21"/>
              </w:rPr>
              <w:t>货物名称</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r>
              <w:rPr>
                <w:rFonts w:hint="eastAsia" w:ascii="宋体" w:hAnsi="宋体"/>
                <w:bCs/>
                <w:color w:val="auto"/>
                <w:szCs w:val="21"/>
              </w:rPr>
              <w:t>数量（</w:t>
            </w:r>
            <w:r>
              <w:rPr>
                <w:rFonts w:hint="eastAsia" w:ascii="宋体" w:hAnsi="宋体"/>
                <w:bCs/>
                <w:color w:val="auto"/>
                <w:szCs w:val="21"/>
                <w:lang w:val="en-US" w:eastAsia="zh-CN"/>
              </w:rPr>
              <w:t>台</w:t>
            </w:r>
            <w:r>
              <w:rPr>
                <w:rFonts w:hint="eastAsia" w:ascii="宋体" w:hAnsi="宋体"/>
                <w:bCs/>
                <w:color w:val="auto"/>
                <w:szCs w:val="21"/>
              </w:rPr>
              <w:t>）</w:t>
            </w:r>
          </w:p>
        </w:tc>
        <w:tc>
          <w:tcPr>
            <w:tcW w:w="33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r>
              <w:rPr>
                <w:rFonts w:hint="eastAsia" w:ascii="宋体" w:hAnsi="宋体"/>
                <w:bCs/>
                <w:color w:val="auto"/>
                <w:szCs w:val="21"/>
              </w:rPr>
              <w:t>最高限价</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color w:val="auto"/>
                <w:szCs w:val="21"/>
                <w:lang w:val="en-US" w:eastAsia="zh-CN"/>
              </w:rPr>
            </w:pPr>
            <w:r>
              <w:rPr>
                <w:rFonts w:hint="eastAsia" w:ascii="宋体" w:hAnsi="宋体"/>
                <w:bCs/>
                <w:color w:val="auto"/>
                <w:szCs w:val="21"/>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r>
              <w:rPr>
                <w:rFonts w:hint="eastAsia" w:ascii="宋体" w:hAnsi="宋体"/>
                <w:bCs/>
                <w:color w:val="auto"/>
                <w:szCs w:val="21"/>
              </w:rPr>
              <w:t>1</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Cs w:val="21"/>
              </w:rPr>
            </w:pPr>
            <w:r>
              <w:rPr>
                <w:rFonts w:hint="eastAsia" w:hAnsi="宋体"/>
                <w:color w:val="auto"/>
                <w:szCs w:val="21"/>
                <w:lang w:val="en-US" w:eastAsia="zh-CN"/>
              </w:rPr>
              <w:t>应用服务器</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Cs w:val="21"/>
              </w:rPr>
            </w:pPr>
            <w:r>
              <w:rPr>
                <w:rFonts w:hAnsi="宋体"/>
                <w:color w:val="auto"/>
                <w:szCs w:val="21"/>
              </w:rPr>
              <w:t>1</w:t>
            </w:r>
          </w:p>
        </w:tc>
        <w:tc>
          <w:tcPr>
            <w:tcW w:w="3349" w:type="dxa"/>
            <w:vMerge w:val="restart"/>
            <w:tcBorders>
              <w:top w:val="single" w:color="auto" w:sz="4" w:space="0"/>
              <w:left w:val="single" w:color="auto" w:sz="4" w:space="0"/>
              <w:right w:val="single" w:color="auto" w:sz="4" w:space="0"/>
            </w:tcBorders>
            <w:vAlign w:val="center"/>
          </w:tcPr>
          <w:p>
            <w:pPr>
              <w:pStyle w:val="15"/>
              <w:spacing w:line="240" w:lineRule="auto"/>
              <w:ind w:firstLine="120"/>
              <w:rPr>
                <w:rFonts w:hint="eastAsia" w:ascii="宋体" w:hAnsi="宋体"/>
                <w:color w:val="auto"/>
                <w:spacing w:val="0"/>
                <w:kern w:val="2"/>
                <w:sz w:val="21"/>
                <w:szCs w:val="21"/>
                <w:lang w:val="en-US" w:eastAsia="zh-CN"/>
              </w:rPr>
            </w:pPr>
            <w:r>
              <w:rPr>
                <w:rFonts w:hint="eastAsia" w:ascii="宋体" w:hAnsi="宋体"/>
                <w:color w:val="auto"/>
                <w:spacing w:val="0"/>
                <w:kern w:val="2"/>
                <w:sz w:val="21"/>
                <w:szCs w:val="21"/>
                <w:lang w:val="en-US" w:eastAsia="zh-CN"/>
              </w:rPr>
              <w:t>人民币</w:t>
            </w:r>
            <w:r>
              <w:rPr>
                <w:rFonts w:hint="eastAsia" w:ascii="宋体" w:hAnsi="宋体"/>
                <w:color w:val="auto"/>
                <w:spacing w:val="0"/>
                <w:kern w:val="2"/>
                <w:sz w:val="21"/>
                <w:szCs w:val="21"/>
                <w:u w:val="single"/>
                <w:lang w:val="en-US" w:eastAsia="zh-CN"/>
              </w:rPr>
              <w:t xml:space="preserve"> 16 </w:t>
            </w:r>
            <w:r>
              <w:rPr>
                <w:rFonts w:hint="eastAsia" w:ascii="宋体" w:hAnsi="宋体"/>
                <w:color w:val="auto"/>
                <w:spacing w:val="0"/>
                <w:kern w:val="2"/>
                <w:sz w:val="21"/>
                <w:szCs w:val="21"/>
                <w:lang w:val="en-US" w:eastAsia="zh-CN"/>
              </w:rPr>
              <w:t>万元（含增值税）</w:t>
            </w:r>
          </w:p>
        </w:tc>
        <w:tc>
          <w:tcPr>
            <w:tcW w:w="1375" w:type="dxa"/>
            <w:vMerge w:val="restart"/>
            <w:tcBorders>
              <w:top w:val="single" w:color="auto" w:sz="4" w:space="0"/>
              <w:left w:val="single" w:color="auto" w:sz="4" w:space="0"/>
              <w:right w:val="single" w:color="auto" w:sz="4" w:space="0"/>
            </w:tcBorders>
            <w:vAlign w:val="center"/>
          </w:tcPr>
          <w:p>
            <w:pPr>
              <w:jc w:val="both"/>
              <w:rPr>
                <w:rFonts w:hint="eastAsia" w:ascii="宋体" w:hAnsi="宋体"/>
                <w:bCs/>
                <w:color w:val="auto"/>
                <w:szCs w:val="21"/>
              </w:rPr>
            </w:pPr>
            <w:r>
              <w:rPr>
                <w:rFonts w:hint="eastAsia" w:ascii="宋体" w:hAnsi="宋体" w:eastAsia="宋体" w:cs="Times New Roman"/>
                <w:snapToGrid w:val="0"/>
                <w:color w:val="auto"/>
                <w:spacing w:val="0"/>
                <w:kern w:val="2"/>
                <w:sz w:val="21"/>
                <w:szCs w:val="21"/>
                <w:lang w:val="zh-CN" w:eastAsia="zh-CN" w:bidi="ar-SA"/>
              </w:rPr>
              <w:t>合同签订之日起</w:t>
            </w:r>
            <w:r>
              <w:rPr>
                <w:rFonts w:hint="eastAsia" w:ascii="宋体" w:hAnsi="宋体" w:eastAsia="宋体" w:cs="Times New Roman"/>
                <w:snapToGrid w:val="0"/>
                <w:color w:val="auto"/>
                <w:spacing w:val="0"/>
                <w:kern w:val="2"/>
                <w:sz w:val="21"/>
                <w:szCs w:val="21"/>
                <w:u w:val="single"/>
                <w:lang w:val="en-US" w:eastAsia="zh-CN" w:bidi="ar-SA"/>
              </w:rPr>
              <w:t>30</w:t>
            </w:r>
            <w:r>
              <w:rPr>
                <w:rFonts w:hint="eastAsia" w:ascii="宋体" w:hAnsi="宋体" w:eastAsia="宋体" w:cs="Times New Roman"/>
                <w:snapToGrid w:val="0"/>
                <w:color w:val="auto"/>
                <w:spacing w:val="0"/>
                <w:kern w:val="2"/>
                <w:sz w:val="21"/>
                <w:szCs w:val="21"/>
                <w:lang w:val="en-US" w:eastAsia="zh-CN" w:bidi="ar-SA"/>
              </w:rPr>
              <w:t>日历日</w:t>
            </w:r>
            <w:r>
              <w:rPr>
                <w:rFonts w:hint="eastAsia" w:ascii="宋体" w:hAnsi="宋体" w:eastAsia="宋体" w:cs="Times New Roman"/>
                <w:snapToGrid w:val="0"/>
                <w:color w:val="auto"/>
                <w:spacing w:val="0"/>
                <w:kern w:val="2"/>
                <w:sz w:val="21"/>
                <w:szCs w:val="21"/>
                <w:lang w:val="zh-CN" w:eastAsia="zh-CN" w:bidi="ar-SA"/>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color w:val="auto"/>
                <w:szCs w:val="21"/>
                <w:lang w:val="en-US" w:eastAsia="zh-CN"/>
              </w:rPr>
            </w:pPr>
            <w:r>
              <w:rPr>
                <w:rFonts w:hint="eastAsia" w:ascii="宋体" w:hAnsi="宋体"/>
                <w:bCs/>
                <w:color w:val="auto"/>
                <w:szCs w:val="21"/>
                <w:lang w:val="en-US" w:eastAsia="zh-CN"/>
              </w:rPr>
              <w:t>2</w:t>
            </w:r>
          </w:p>
        </w:tc>
        <w:tc>
          <w:tcPr>
            <w:tcW w:w="226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Cs w:val="21"/>
                <w:lang w:val="en-US" w:eastAsia="zh-CN"/>
              </w:rPr>
            </w:pPr>
            <w:r>
              <w:rPr>
                <w:rFonts w:hint="eastAsia" w:hAnsi="宋体"/>
                <w:color w:val="auto"/>
                <w:szCs w:val="21"/>
                <w:lang w:val="en-US" w:eastAsia="zh-CN"/>
              </w:rPr>
              <w:t>数据存储设备</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color w:val="auto"/>
                <w:szCs w:val="21"/>
                <w:lang w:val="en-US" w:eastAsia="zh-CN"/>
              </w:rPr>
            </w:pPr>
            <w:r>
              <w:rPr>
                <w:rFonts w:hint="eastAsia" w:hAnsi="宋体"/>
                <w:color w:val="auto"/>
                <w:szCs w:val="21"/>
                <w:lang w:val="en-US" w:eastAsia="zh-CN"/>
              </w:rPr>
              <w:t>1</w:t>
            </w:r>
          </w:p>
        </w:tc>
        <w:tc>
          <w:tcPr>
            <w:tcW w:w="3349" w:type="dxa"/>
            <w:vMerge w:val="continue"/>
            <w:tcBorders>
              <w:left w:val="single" w:color="auto" w:sz="4" w:space="0"/>
              <w:bottom w:val="single" w:color="auto" w:sz="4" w:space="0"/>
              <w:right w:val="single" w:color="auto" w:sz="4" w:space="0"/>
            </w:tcBorders>
            <w:vAlign w:val="center"/>
          </w:tcPr>
          <w:p>
            <w:pPr>
              <w:pStyle w:val="15"/>
              <w:spacing w:line="240" w:lineRule="auto"/>
              <w:ind w:firstLine="120"/>
              <w:rPr>
                <w:rFonts w:hint="eastAsia" w:ascii="宋体" w:hAnsi="宋体"/>
                <w:color w:val="auto"/>
                <w:spacing w:val="0"/>
                <w:kern w:val="2"/>
                <w:sz w:val="21"/>
                <w:szCs w:val="21"/>
                <w:lang w:val="en-US" w:eastAsia="zh-CN"/>
              </w:rPr>
            </w:pPr>
          </w:p>
        </w:tc>
        <w:tc>
          <w:tcPr>
            <w:tcW w:w="1375"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bCs/>
                <w:color w:val="auto"/>
                <w:szCs w:val="21"/>
              </w:rPr>
            </w:pPr>
          </w:p>
        </w:tc>
      </w:tr>
    </w:tbl>
    <w:p>
      <w:pPr>
        <w:pStyle w:val="2"/>
        <w:rPr>
          <w:rFonts w:hint="eastAsia"/>
          <w:color w:val="auto"/>
        </w:rPr>
      </w:pPr>
    </w:p>
    <w:p>
      <w:pPr>
        <w:numPr>
          <w:ilvl w:val="0"/>
          <w:numId w:val="12"/>
        </w:numPr>
        <w:spacing w:line="360" w:lineRule="auto"/>
        <w:ind w:left="0" w:leftChars="0" w:firstLine="0" w:firstLineChars="0"/>
        <w:outlineLvl w:val="1"/>
        <w:rPr>
          <w:rFonts w:hint="eastAsia" w:asciiTheme="minorEastAsia" w:hAnsiTheme="minorEastAsia" w:eastAsiaTheme="minorEastAsia" w:cstheme="minorEastAsia"/>
          <w:b/>
          <w:color w:val="auto"/>
          <w:szCs w:val="21"/>
        </w:rPr>
      </w:pPr>
      <w:bookmarkStart w:id="192" w:name="_Toc25033"/>
      <w:r>
        <w:rPr>
          <w:rFonts w:hint="eastAsia" w:asciiTheme="minorEastAsia" w:hAnsiTheme="minorEastAsia" w:eastAsiaTheme="minorEastAsia" w:cstheme="minorEastAsia"/>
          <w:b/>
          <w:color w:val="auto"/>
          <w:szCs w:val="21"/>
          <w:lang w:val="en-US" w:eastAsia="zh-CN"/>
        </w:rPr>
        <w:t>项目技术参数及要</w:t>
      </w:r>
      <w:r>
        <w:rPr>
          <w:rFonts w:hint="eastAsia" w:asciiTheme="minorEastAsia" w:hAnsiTheme="minorEastAsia" w:eastAsiaTheme="minorEastAsia" w:cstheme="minorEastAsia"/>
          <w:b/>
          <w:color w:val="auto"/>
          <w:szCs w:val="21"/>
          <w:lang w:eastAsia="zh-CN"/>
        </w:rPr>
        <w:t>求</w:t>
      </w:r>
      <w:bookmarkEnd w:id="192"/>
    </w:p>
    <w:p>
      <w:pPr>
        <w:numPr>
          <w:ilvl w:val="0"/>
          <w:numId w:val="0"/>
        </w:numPr>
        <w:tabs>
          <w:tab w:val="left" w:pos="0"/>
        </w:tabs>
        <w:spacing w:line="360" w:lineRule="auto"/>
        <w:ind w:leftChars="0" w:firstLine="423"/>
        <w:rPr>
          <w:rFonts w:hint="eastAsia" w:asciiTheme="minorEastAsia" w:hAnsiTheme="minorEastAsia" w:eastAsiaTheme="minorEastAsia" w:cstheme="minorEastAsia"/>
          <w:b/>
          <w:color w:val="auto"/>
          <w:szCs w:val="21"/>
          <w:highlight w:val="none"/>
        </w:rPr>
      </w:pPr>
      <w:bookmarkStart w:id="193" w:name="_Toc2341720"/>
      <w:bookmarkStart w:id="194" w:name="_Toc2341295"/>
      <w:r>
        <w:rPr>
          <w:rFonts w:hint="eastAsia" w:asciiTheme="minorEastAsia" w:hAnsiTheme="minorEastAsia" w:eastAsiaTheme="minorEastAsia" w:cstheme="minorEastAsia"/>
          <w:b/>
          <w:color w:val="auto"/>
          <w:szCs w:val="21"/>
        </w:rPr>
        <w:t>本采购文件中，凡标有“★”的地方，响应人要特别加以注意，必须对此作出一一响应，若有一项带“★”的指标未响应或不满足，将导致其废止响应或响应无效；</w:t>
      </w:r>
      <w:r>
        <w:rPr>
          <w:rFonts w:hint="eastAsia" w:asciiTheme="minorEastAsia" w:hAnsiTheme="minorEastAsia" w:eastAsiaTheme="minorEastAsia" w:cstheme="minorEastAsia"/>
          <w:b/>
          <w:color w:val="auto"/>
          <w:szCs w:val="21"/>
          <w:highlight w:val="none"/>
        </w:rPr>
        <w:t>凡标有“▲”条款为重要</w:t>
      </w:r>
      <w:r>
        <w:rPr>
          <w:rFonts w:hint="eastAsia" w:asciiTheme="minorEastAsia" w:hAnsiTheme="minorEastAsia" w:eastAsiaTheme="minorEastAsia" w:cstheme="minorEastAsia"/>
          <w:b/>
          <w:color w:val="auto"/>
          <w:szCs w:val="21"/>
          <w:highlight w:val="none"/>
          <w:lang w:eastAsia="zh-CN"/>
        </w:rPr>
        <w:t>服务内容</w:t>
      </w:r>
      <w:r>
        <w:rPr>
          <w:rFonts w:hint="eastAsia" w:asciiTheme="minorEastAsia" w:hAnsiTheme="minorEastAsia" w:eastAsiaTheme="minorEastAsia" w:cstheme="minorEastAsia"/>
          <w:b/>
          <w:color w:val="auto"/>
          <w:szCs w:val="21"/>
          <w:highlight w:val="none"/>
        </w:rPr>
        <w:t>，但不作为无效响应条款</w:t>
      </w:r>
      <w:r>
        <w:rPr>
          <w:rFonts w:hint="eastAsia" w:asciiTheme="minorEastAsia" w:hAnsiTheme="minorEastAsia" w:eastAsiaTheme="minorEastAsia" w:cstheme="minorEastAsia"/>
          <w:b/>
          <w:color w:val="auto"/>
          <w:szCs w:val="21"/>
          <w:highlight w:val="none"/>
          <w:lang w:eastAsia="zh-CN"/>
        </w:rPr>
        <w:t>，仅作为加分项</w:t>
      </w:r>
      <w:r>
        <w:rPr>
          <w:rFonts w:hint="eastAsia" w:asciiTheme="minorEastAsia" w:hAnsiTheme="minorEastAsia" w:eastAsiaTheme="minorEastAsia" w:cstheme="minorEastAsia"/>
          <w:b/>
          <w:color w:val="auto"/>
          <w:szCs w:val="21"/>
          <w:highlight w:val="none"/>
        </w:rPr>
        <w:t>。</w:t>
      </w:r>
      <w:bookmarkEnd w:id="193"/>
      <w:bookmarkEnd w:id="194"/>
    </w:p>
    <w:p>
      <w:pPr>
        <w:pStyle w:val="2"/>
        <w:rPr>
          <w:rFonts w:hint="eastAsia"/>
          <w:color w:val="auto"/>
        </w:rPr>
      </w:pPr>
    </w:p>
    <w:p>
      <w:pPr>
        <w:pStyle w:val="19"/>
        <w:numPr>
          <w:ilvl w:val="255"/>
          <w:numId w:val="0"/>
        </w:numPr>
        <w:spacing w:before="156" w:beforeLines="50" w:after="156" w:afterLines="50"/>
        <w:rPr>
          <w:rFonts w:ascii="宋体" w:hAnsi="宋体" w:cstheme="minorEastAsia"/>
          <w:b/>
          <w:bCs w:val="0"/>
          <w:color w:val="auto"/>
          <w:sz w:val="21"/>
          <w:szCs w:val="21"/>
        </w:rPr>
      </w:pPr>
      <w:r>
        <w:rPr>
          <w:rFonts w:hint="eastAsia" w:ascii="宋体" w:hAnsi="宋体" w:cstheme="minorEastAsia"/>
          <w:b/>
          <w:bCs w:val="0"/>
          <w:color w:val="auto"/>
          <w:sz w:val="21"/>
          <w:szCs w:val="21"/>
          <w:lang w:val="en-US" w:eastAsia="zh-CN"/>
        </w:rPr>
        <w:t>1.</w:t>
      </w:r>
      <w:r>
        <w:rPr>
          <w:rFonts w:hint="eastAsia" w:ascii="宋体" w:hAnsi="宋体" w:cstheme="minorEastAsia"/>
          <w:b/>
          <w:bCs w:val="0"/>
          <w:color w:val="auto"/>
          <w:sz w:val="21"/>
          <w:szCs w:val="21"/>
          <w:lang w:val="en-US" w:eastAsia="zh-CN"/>
        </w:rPr>
        <w:tab/>
      </w:r>
      <w:r>
        <w:rPr>
          <w:rFonts w:hint="eastAsia" w:ascii="宋体" w:hAnsi="宋体" w:cstheme="minorEastAsia"/>
          <w:b/>
          <w:bCs w:val="0"/>
          <w:color w:val="auto"/>
          <w:sz w:val="21"/>
          <w:szCs w:val="21"/>
        </w:rPr>
        <w:t>应用服务器</w:t>
      </w:r>
    </w:p>
    <w:tbl>
      <w:tblPr>
        <w:tblStyle w:val="13"/>
        <w:tblW w:w="9680" w:type="dxa"/>
        <w:tblInd w:w="113" w:type="dxa"/>
        <w:tblLayout w:type="fixed"/>
        <w:tblCellMar>
          <w:top w:w="0" w:type="dxa"/>
          <w:left w:w="108" w:type="dxa"/>
          <w:bottom w:w="0" w:type="dxa"/>
          <w:right w:w="108" w:type="dxa"/>
        </w:tblCellMar>
      </w:tblPr>
      <w:tblGrid>
        <w:gridCol w:w="940"/>
        <w:gridCol w:w="2140"/>
        <w:gridCol w:w="6600"/>
      </w:tblGrid>
      <w:tr>
        <w:tblPrEx>
          <w:tblLayout w:type="fixed"/>
          <w:tblCellMar>
            <w:top w:w="0" w:type="dxa"/>
            <w:left w:w="108" w:type="dxa"/>
            <w:bottom w:w="0" w:type="dxa"/>
            <w:right w:w="108" w:type="dxa"/>
          </w:tblCellMar>
        </w:tblPrEx>
        <w:trPr>
          <w:trHeight w:val="758" w:hRule="atLeast"/>
        </w:trPr>
        <w:tc>
          <w:tcPr>
            <w:tcW w:w="940" w:type="dxa"/>
            <w:tcBorders>
              <w:top w:val="single" w:color="auto" w:sz="4" w:space="0"/>
              <w:left w:val="single" w:color="auto" w:sz="4" w:space="0"/>
              <w:bottom w:val="single" w:color="auto" w:sz="4" w:space="0"/>
              <w:right w:val="single" w:color="auto" w:sz="4" w:space="0"/>
            </w:tcBorders>
            <w:shd w:val="clear" w:color="000000" w:fill="D7D7D7" w:themeFill="background1" w:themeFillShade="D8"/>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eastAsia="zh-CN"/>
              </w:rPr>
              <w:t>项 目</w:t>
            </w:r>
          </w:p>
        </w:tc>
        <w:tc>
          <w:tcPr>
            <w:tcW w:w="2140" w:type="dxa"/>
            <w:tcBorders>
              <w:top w:val="single" w:color="auto" w:sz="4" w:space="0"/>
              <w:left w:val="nil"/>
              <w:bottom w:val="single" w:color="auto" w:sz="4" w:space="0"/>
              <w:right w:val="single" w:color="auto" w:sz="4" w:space="0"/>
            </w:tcBorders>
            <w:shd w:val="clear" w:color="000000" w:fill="D7D7D7" w:themeFill="background1" w:themeFillShade="D8"/>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eastAsia="zh-CN"/>
              </w:rPr>
              <w:t>参数项</w:t>
            </w:r>
          </w:p>
        </w:tc>
        <w:tc>
          <w:tcPr>
            <w:tcW w:w="6600" w:type="dxa"/>
            <w:tcBorders>
              <w:top w:val="single" w:color="auto" w:sz="4" w:space="0"/>
              <w:left w:val="nil"/>
              <w:bottom w:val="single" w:color="auto" w:sz="4" w:space="0"/>
              <w:right w:val="single" w:color="auto" w:sz="4" w:space="0"/>
            </w:tcBorders>
            <w:shd w:val="clear" w:color="000000" w:fill="D7D7D7" w:themeFill="background1" w:themeFillShade="D8"/>
            <w:vAlign w:val="center"/>
          </w:tcPr>
          <w:p>
            <w:pPr>
              <w:widowControl/>
              <w:spacing w:line="360" w:lineRule="auto"/>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eastAsia="zh-CN"/>
              </w:rPr>
              <w:t>配 置 要 求</w:t>
            </w:r>
          </w:p>
        </w:tc>
      </w:tr>
      <w:tr>
        <w:tblPrEx>
          <w:tblLayout w:type="fixed"/>
          <w:tblCellMar>
            <w:top w:w="0" w:type="dxa"/>
            <w:left w:w="108" w:type="dxa"/>
            <w:bottom w:w="0" w:type="dxa"/>
            <w:right w:w="108" w:type="dxa"/>
          </w:tblCellMar>
        </w:tblPrEx>
        <w:trPr>
          <w:trHeight w:val="300"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外形</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机架式服务器</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2U 机架式服务器</w:t>
            </w:r>
          </w:p>
        </w:tc>
      </w:tr>
      <w:tr>
        <w:tblPrEx>
          <w:tblLayout w:type="fixed"/>
          <w:tblCellMar>
            <w:top w:w="0" w:type="dxa"/>
            <w:left w:w="108" w:type="dxa"/>
            <w:bottom w:w="0" w:type="dxa"/>
            <w:right w:w="108" w:type="dxa"/>
          </w:tblCellMar>
        </w:tblPrEx>
        <w:trPr>
          <w:trHeight w:val="540" w:hRule="atLeast"/>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CPU</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CPU数</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英特尔至强处理器SP产品系列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2路CPU配置</w:t>
            </w:r>
          </w:p>
        </w:tc>
      </w:tr>
      <w:tr>
        <w:tblPrEx>
          <w:tblLayout w:type="fixed"/>
          <w:tblCellMar>
            <w:top w:w="0" w:type="dxa"/>
            <w:left w:w="108" w:type="dxa"/>
            <w:bottom w:w="0" w:type="dxa"/>
            <w:right w:w="108" w:type="dxa"/>
          </w:tblCellMar>
        </w:tblPrEx>
        <w:trPr>
          <w:trHeight w:val="9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型号</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英特尔® 至强® 处理器可扩展家族</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主频</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2.5GHZ</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子型号</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英特尔至强金牌 5215*2</w:t>
            </w:r>
          </w:p>
        </w:tc>
      </w:tr>
      <w:tr>
        <w:tblPrEx>
          <w:tblLayout w:type="fixed"/>
          <w:tblCellMar>
            <w:top w:w="0" w:type="dxa"/>
            <w:left w:w="108" w:type="dxa"/>
            <w:bottom w:w="0" w:type="dxa"/>
            <w:right w:w="108" w:type="dxa"/>
          </w:tblCellMar>
        </w:tblPrEx>
        <w:trPr>
          <w:trHeight w:val="300" w:hRule="atLeast"/>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内存</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内存类型</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RDIMM，LRDIMM，NVDIMM-N</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最大可扩展容量</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可配≥1.5TB（≥24 个DIMM 插槽）</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▲内存插槽</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≥24 个DIMM 插槽</w:t>
            </w:r>
          </w:p>
        </w:tc>
      </w:tr>
      <w:tr>
        <w:tblPrEx>
          <w:tblLayout w:type="fixed"/>
          <w:tblCellMar>
            <w:top w:w="0" w:type="dxa"/>
            <w:left w:w="108" w:type="dxa"/>
            <w:bottom w:w="0" w:type="dxa"/>
            <w:right w:w="108" w:type="dxa"/>
          </w:tblCellMar>
        </w:tblPrEx>
        <w:trPr>
          <w:trHeight w:val="300" w:hRule="atLeast"/>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硬盘</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当前配置</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4*32GB RDIMM, 2933MT/s, 双列</w:t>
            </w:r>
          </w:p>
        </w:tc>
      </w:tr>
      <w:tr>
        <w:tblPrEx>
          <w:tblLayout w:type="fixed"/>
          <w:tblCellMar>
            <w:top w:w="0" w:type="dxa"/>
            <w:left w:w="108" w:type="dxa"/>
            <w:bottom w:w="0" w:type="dxa"/>
            <w:right w:w="108" w:type="dxa"/>
          </w:tblCellMar>
        </w:tblPrEx>
        <w:trPr>
          <w:trHeight w:val="54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快擦硬盘/SSD</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服务器生命周期结束或者挪作它用时一键删除硬盘/SSD所有信息，只需要几分钟就能保证信息不泄露。传统硬盘至少需要几个小时的写零时间或者物理销毁。</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最大支持硬盘数量和型号</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≥8块2.5 英寸热插拔SAS/SATA硬盘</w:t>
            </w:r>
          </w:p>
        </w:tc>
      </w:tr>
      <w:tr>
        <w:tblPrEx>
          <w:tblLayout w:type="fixed"/>
          <w:tblCellMar>
            <w:top w:w="0" w:type="dxa"/>
            <w:left w:w="108" w:type="dxa"/>
            <w:bottom w:w="0" w:type="dxa"/>
            <w:right w:w="108" w:type="dxa"/>
          </w:tblCellMar>
        </w:tblPrEx>
        <w:trPr>
          <w:trHeight w:val="300" w:hRule="atLeast"/>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RAID卡</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RAID支持</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配置RAID卡，可支持RAID 0、1、5、6、10</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Cache 大小/最大值</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当前配置无缓存，机型可支持最高8GB RAID卡</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电池保修时间</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3年warranty for battery/可选升级5年保修</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是否支持SSD优化技术</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专用启动盘</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启动盘RAID</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SD卡数量</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SD卡可组成RAID的级别</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w:t>
            </w:r>
          </w:p>
        </w:tc>
      </w:tr>
      <w:tr>
        <w:tblPrEx>
          <w:tblLayout w:type="fixed"/>
        </w:tblPrEx>
        <w:trPr>
          <w:trHeight w:val="300"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GPU</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▲GPU支持</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支持≥3个内部全宽300W或者≥6个内部半宽半高的150W GPU</w:t>
            </w:r>
          </w:p>
        </w:tc>
      </w:tr>
      <w:tr>
        <w:tblPrEx>
          <w:tblLayout w:type="fixed"/>
          <w:tblCellMar>
            <w:top w:w="0" w:type="dxa"/>
            <w:left w:w="108" w:type="dxa"/>
            <w:bottom w:w="0" w:type="dxa"/>
            <w:right w:w="108" w:type="dxa"/>
          </w:tblCellMar>
        </w:tblPrEx>
        <w:trPr>
          <w:trHeight w:val="300"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I/O</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▲PCI插槽</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≥8个PCIe第3代插槽</w:t>
            </w:r>
          </w:p>
        </w:tc>
      </w:tr>
      <w:tr>
        <w:tblPrEx>
          <w:tblLayout w:type="fixed"/>
          <w:tblCellMar>
            <w:top w:w="0" w:type="dxa"/>
            <w:left w:w="108" w:type="dxa"/>
            <w:bottom w:w="0" w:type="dxa"/>
            <w:right w:w="108" w:type="dxa"/>
          </w:tblCellMar>
        </w:tblPrEx>
        <w:trPr>
          <w:trHeight w:val="810" w:hRule="atLeast"/>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网卡</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数量</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可选集成4个千兆以太网卡，支持failover,loadbalance，或集成2个千兆以太网及2个万兆10Gb Base_T/SFP+ 接口以太网卡，或4个万兆10Gbase_T/SFP+ 接口以太网卡, 或者2个25GE接口以太网卡，支持独立于交换机的万兆网卡分区技术.</w:t>
            </w:r>
          </w:p>
        </w:tc>
      </w:tr>
      <w:tr>
        <w:tblPrEx>
          <w:tblLayout w:type="fixed"/>
          <w:tblCellMar>
            <w:top w:w="0" w:type="dxa"/>
            <w:left w:w="108" w:type="dxa"/>
            <w:bottom w:w="0" w:type="dxa"/>
            <w:right w:w="108" w:type="dxa"/>
          </w:tblCellMar>
        </w:tblPrEx>
        <w:trPr>
          <w:trHeight w:val="30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当前配置</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四端口 1GbE BASE-T</w:t>
            </w:r>
          </w:p>
        </w:tc>
      </w:tr>
      <w:tr>
        <w:tblPrEx>
          <w:tblLayout w:type="fixed"/>
          <w:tblCellMar>
            <w:top w:w="0" w:type="dxa"/>
            <w:left w:w="108" w:type="dxa"/>
            <w:bottom w:w="0" w:type="dxa"/>
            <w:right w:w="108" w:type="dxa"/>
          </w:tblCellMar>
        </w:tblPrEx>
        <w:trPr>
          <w:trHeight w:val="300"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电源</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配置</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配置1+1冗余热插拔钛金级能效电源</w:t>
            </w:r>
          </w:p>
        </w:tc>
      </w:tr>
      <w:tr>
        <w:tblPrEx>
          <w:tblLayout w:type="fixed"/>
          <w:tblCellMar>
            <w:top w:w="0" w:type="dxa"/>
            <w:left w:w="108" w:type="dxa"/>
            <w:bottom w:w="0" w:type="dxa"/>
            <w:right w:w="108" w:type="dxa"/>
          </w:tblCellMar>
        </w:tblPrEx>
        <w:trPr>
          <w:trHeight w:val="300"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环境</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运行温度</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10摄氏度至35摄氏度</w:t>
            </w:r>
          </w:p>
        </w:tc>
      </w:tr>
      <w:tr>
        <w:tblPrEx>
          <w:tblLayout w:type="fixed"/>
          <w:tblCellMar>
            <w:top w:w="0" w:type="dxa"/>
            <w:left w:w="108" w:type="dxa"/>
            <w:bottom w:w="0" w:type="dxa"/>
            <w:right w:w="108" w:type="dxa"/>
          </w:tblCellMar>
        </w:tblPrEx>
        <w:trPr>
          <w:trHeight w:val="784"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安全</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功能和特性</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加密签名固件，硬件根信任，安全启动，自动BIOS恢复，快速OS恢复，系统一键锁定，安全的缺省密码，配置和固件漂移检测，持久日志（包括用户形迹）</w:t>
            </w:r>
          </w:p>
        </w:tc>
      </w:tr>
      <w:tr>
        <w:tblPrEx>
          <w:tblLayout w:type="fixed"/>
          <w:tblCellMar>
            <w:top w:w="0" w:type="dxa"/>
            <w:left w:w="108" w:type="dxa"/>
            <w:bottom w:w="0" w:type="dxa"/>
            <w:right w:w="108" w:type="dxa"/>
          </w:tblCellMar>
        </w:tblPrEx>
        <w:trPr>
          <w:trHeight w:val="540" w:hRule="atLeast"/>
        </w:trPr>
        <w:tc>
          <w:tcPr>
            <w:tcW w:w="940"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软件</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操作系统/数据库软件</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Windows Server 2016 标准</w:t>
            </w:r>
            <w:r>
              <w:rPr>
                <w:rFonts w:hint="eastAsia" w:asciiTheme="minorEastAsia" w:hAnsiTheme="minorEastAsia" w:eastAsiaTheme="minorEastAsia" w:cstheme="minorEastAsia"/>
                <w:color w:val="auto"/>
                <w:kern w:val="0"/>
                <w:sz w:val="21"/>
                <w:szCs w:val="21"/>
                <w:lang w:val="en-US" w:eastAsia="zh-CN"/>
              </w:rPr>
              <w:t>版，</w:t>
            </w:r>
            <w:bookmarkStart w:id="501" w:name="_GoBack"/>
            <w:bookmarkEnd w:id="501"/>
            <w:r>
              <w:rPr>
                <w:rFonts w:hint="eastAsia" w:asciiTheme="minorEastAsia" w:hAnsiTheme="minorEastAsia" w:eastAsiaTheme="minorEastAsia" w:cstheme="minorEastAsia"/>
                <w:color w:val="auto"/>
                <w:kern w:val="0"/>
                <w:sz w:val="21"/>
                <w:szCs w:val="21"/>
              </w:rPr>
              <w:t>简体中文+Microsoft SQL 服务器 2017 标准版,OEM, 包含 5位用户 CALs, NFI, 简体中文</w:t>
            </w:r>
          </w:p>
        </w:tc>
      </w:tr>
      <w:tr>
        <w:tblPrEx>
          <w:tblLayout w:type="fixed"/>
          <w:tblCellMar>
            <w:top w:w="0" w:type="dxa"/>
            <w:left w:w="108" w:type="dxa"/>
            <w:bottom w:w="0" w:type="dxa"/>
            <w:right w:w="108" w:type="dxa"/>
          </w:tblCellMar>
        </w:tblPrEx>
        <w:trPr>
          <w:trHeight w:val="540" w:hRule="atLeast"/>
        </w:trPr>
        <w:tc>
          <w:tcPr>
            <w:tcW w:w="940" w:type="dxa"/>
            <w:vMerge w:val="restart"/>
            <w:tcBorders>
              <w:top w:val="nil"/>
              <w:left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管理</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▲前置管理液晶屏</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前面板上配备有液晶屏，可显示默认或定制信息，包括IP地址、服务器名称、支持服务编号等。如果系统发生故障，该液晶屏上将显示关于故障的具体信息</w:t>
            </w:r>
          </w:p>
        </w:tc>
      </w:tr>
      <w:tr>
        <w:tblPrEx>
          <w:tblLayout w:type="fixed"/>
          <w:tblCellMar>
            <w:top w:w="0" w:type="dxa"/>
            <w:left w:w="108" w:type="dxa"/>
            <w:bottom w:w="0" w:type="dxa"/>
            <w:right w:w="108" w:type="dxa"/>
          </w:tblCellMar>
        </w:tblPrEx>
        <w:trPr>
          <w:trHeight w:val="810"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能耗管理</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可监控、报告及控制处理器、内存及系统级的能耗，允许通过一体化管理控制台实现基于策略的功耗封顶。虚拟机功耗映射，可以根据功耗对于虚拟机进行负载平衡以及按虚拟机报告功能</w:t>
            </w:r>
          </w:p>
        </w:tc>
      </w:tr>
      <w:tr>
        <w:tblPrEx>
          <w:tblLayout w:type="fixed"/>
          <w:tblCellMar>
            <w:top w:w="0" w:type="dxa"/>
            <w:left w:w="108" w:type="dxa"/>
            <w:bottom w:w="0" w:type="dxa"/>
            <w:right w:w="108" w:type="dxa"/>
          </w:tblCellMar>
        </w:tblPrEx>
        <w:trPr>
          <w:trHeight w:val="1350"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vMerge w:val="restart"/>
            <w:tcBorders>
              <w:top w:val="nil"/>
              <w:left w:val="nil"/>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▲第三方管理平台集成</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提供主流管理平台如VMware vCenter，Microsoft System Center，BMC Software的插件集成；能够连接常见的管理平台如Nagios &amp; Nagios XI,Oracle Enterprise Manager, HP Operations Manager,</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rPr>
              <w:t>IBM Tivoli Netcool/OMNIbus, IBM Tivoli® Network Manager, CA Network and Systems Management</w:t>
            </w:r>
          </w:p>
        </w:tc>
      </w:tr>
      <w:tr>
        <w:tblPrEx>
          <w:tblLayout w:type="fixed"/>
          <w:tblCellMar>
            <w:top w:w="0" w:type="dxa"/>
            <w:left w:w="108" w:type="dxa"/>
            <w:bottom w:w="0" w:type="dxa"/>
            <w:right w:w="108" w:type="dxa"/>
          </w:tblCellMar>
        </w:tblPrEx>
        <w:trPr>
          <w:trHeight w:val="481"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vMerge w:val="continue"/>
            <w:tcBorders>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与原有业务平台兼容，提供CNware原厂授权。</w:t>
            </w:r>
          </w:p>
        </w:tc>
      </w:tr>
      <w:tr>
        <w:tblPrEx>
          <w:tblLayout w:type="fixed"/>
          <w:tblCellMar>
            <w:top w:w="0" w:type="dxa"/>
            <w:left w:w="108" w:type="dxa"/>
            <w:bottom w:w="0" w:type="dxa"/>
            <w:right w:w="108" w:type="dxa"/>
          </w:tblCellMar>
        </w:tblPrEx>
        <w:trPr>
          <w:trHeight w:val="1350"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远程管理</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配置远程管理卡，具有单独的管理网口，可不依赖主机操作系统进行远程操作。提供远程监控图形界面, 可实现与操作系统无关的远程对服务器的完全控制，包括远程的开关机、重启、更新Firmware, 虚拟KVM, 虚拟软驱, 虚拟光驱、虚拟介质重定向等操作；支持SNMP，IPMI和Redfish；支持IPv6。</w:t>
            </w:r>
          </w:p>
        </w:tc>
      </w:tr>
      <w:tr>
        <w:tblPrEx>
          <w:tblLayout w:type="fixed"/>
          <w:tblCellMar>
            <w:top w:w="0" w:type="dxa"/>
            <w:left w:w="108" w:type="dxa"/>
            <w:bottom w:w="0" w:type="dxa"/>
            <w:right w:w="108" w:type="dxa"/>
          </w:tblCellMar>
        </w:tblPrEx>
        <w:trPr>
          <w:trHeight w:val="300"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前置专用USB管理口</w:t>
            </w:r>
          </w:p>
        </w:tc>
      </w:tr>
      <w:tr>
        <w:tblPrEx>
          <w:tblLayout w:type="fixed"/>
          <w:tblCellMar>
            <w:top w:w="0" w:type="dxa"/>
            <w:left w:w="108" w:type="dxa"/>
            <w:bottom w:w="0" w:type="dxa"/>
            <w:right w:w="108" w:type="dxa"/>
          </w:tblCellMar>
        </w:tblPrEx>
        <w:trPr>
          <w:trHeight w:val="540"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允许用户独立于操作系统状态之外（免代理安装方式）远程访问、监控、维修、修复和升级服务器。</w:t>
            </w:r>
          </w:p>
        </w:tc>
      </w:tr>
      <w:tr>
        <w:tblPrEx>
          <w:tblLayout w:type="fixed"/>
          <w:tblCellMar>
            <w:top w:w="0" w:type="dxa"/>
            <w:left w:w="108" w:type="dxa"/>
            <w:bottom w:w="0" w:type="dxa"/>
            <w:right w:w="108" w:type="dxa"/>
          </w:tblCellMar>
        </w:tblPrEx>
        <w:trPr>
          <w:trHeight w:val="810"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能够利用SD卡保存操作系统安装镜像，从而实现一站式地完成操作系统的部署，包括内建驱动程序安装、固件更新、硬件配置和问题诊断。所涉及价格包含在设备价格中。</w:t>
            </w:r>
          </w:p>
        </w:tc>
      </w:tr>
      <w:tr>
        <w:tblPrEx>
          <w:tblLayout w:type="fixed"/>
          <w:tblCellMar>
            <w:top w:w="0" w:type="dxa"/>
            <w:left w:w="108" w:type="dxa"/>
            <w:bottom w:w="0" w:type="dxa"/>
            <w:right w:w="108" w:type="dxa"/>
          </w:tblCellMar>
        </w:tblPrEx>
        <w:trPr>
          <w:trHeight w:val="300"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移动管理</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能够通过手机和平板电脑管理服务器，可以做现场的资产清点</w:t>
            </w:r>
          </w:p>
        </w:tc>
      </w:tr>
      <w:tr>
        <w:tblPrEx>
          <w:tblLayout w:type="fixed"/>
          <w:tblCellMar>
            <w:top w:w="0" w:type="dxa"/>
            <w:left w:w="108" w:type="dxa"/>
            <w:bottom w:w="0" w:type="dxa"/>
            <w:right w:w="108" w:type="dxa"/>
          </w:tblCellMar>
        </w:tblPrEx>
        <w:trPr>
          <w:trHeight w:val="540" w:hRule="atLeast"/>
        </w:trPr>
        <w:tc>
          <w:tcPr>
            <w:tcW w:w="940" w:type="dxa"/>
            <w:vMerge w:val="continue"/>
            <w:tcBorders>
              <w:left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全生命周期管理</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从服务器出厂免光盘安装部署，到升级，监控，维护，直至报废涉及的方方面面提供全生命周期管理。</w:t>
            </w:r>
          </w:p>
        </w:tc>
      </w:tr>
      <w:tr>
        <w:tblPrEx>
          <w:tblLayout w:type="fixed"/>
          <w:tblCellMar>
            <w:top w:w="0" w:type="dxa"/>
            <w:left w:w="108" w:type="dxa"/>
            <w:bottom w:w="0" w:type="dxa"/>
            <w:right w:w="108" w:type="dxa"/>
          </w:tblCellMar>
        </w:tblPrEx>
        <w:trPr>
          <w:trHeight w:val="540" w:hRule="atLeast"/>
        </w:trPr>
        <w:tc>
          <w:tcPr>
            <w:tcW w:w="940" w:type="dxa"/>
            <w:vMerge w:val="continue"/>
            <w:tcBorders>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▲高级功能</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设备厂商必须提供至少两种商用（非开源）软件定义存储解决方案并提供官方证明材料，不满足以废标论。</w:t>
            </w:r>
          </w:p>
        </w:tc>
      </w:tr>
      <w:tr>
        <w:tblPrEx>
          <w:tblLayout w:type="fixed"/>
          <w:tblCellMar>
            <w:top w:w="0" w:type="dxa"/>
            <w:left w:w="108" w:type="dxa"/>
            <w:bottom w:w="0" w:type="dxa"/>
            <w:right w:w="108" w:type="dxa"/>
          </w:tblCellMar>
        </w:tblPrEx>
        <w:trPr>
          <w:trHeight w:val="300" w:hRule="atLeast"/>
        </w:trPr>
        <w:tc>
          <w:tcPr>
            <w:tcW w:w="9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服务</w:t>
            </w:r>
          </w:p>
        </w:tc>
        <w:tc>
          <w:tcPr>
            <w:tcW w:w="2140" w:type="dxa"/>
            <w:tcBorders>
              <w:top w:val="nil"/>
              <w:left w:val="nil"/>
              <w:bottom w:val="single" w:color="auto" w:sz="4" w:space="0"/>
              <w:right w:val="single" w:color="auto" w:sz="4" w:space="0"/>
            </w:tcBorders>
            <w:shd w:val="clear" w:color="auto" w:fill="auto"/>
            <w:vAlign w:val="center"/>
          </w:tcPr>
          <w:p>
            <w:pPr>
              <w:widowControl/>
              <w:spacing w:after="0" w:line="24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安装及部署服务</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由原厂认证工程师提供上门验货及安装服务。承担现有采购人现有系统对接和数据迁移，含专业部署服务，以及根据采购人需求安装指定的软件。</w:t>
            </w:r>
          </w:p>
        </w:tc>
      </w:tr>
      <w:tr>
        <w:tblPrEx>
          <w:tblLayout w:type="fixed"/>
          <w:tblCellMar>
            <w:top w:w="0" w:type="dxa"/>
            <w:left w:w="108" w:type="dxa"/>
            <w:bottom w:w="0" w:type="dxa"/>
            <w:right w:w="108" w:type="dxa"/>
          </w:tblCellMar>
        </w:tblPrEx>
        <w:trPr>
          <w:trHeight w:val="54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售后服务</w:t>
            </w: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3年7x24</w:t>
            </w:r>
            <w:r>
              <w:rPr>
                <w:rFonts w:hint="eastAsia" w:asciiTheme="minorEastAsia" w:hAnsiTheme="minorEastAsia" w:eastAsiaTheme="minorEastAsia" w:cstheme="minorEastAsia"/>
                <w:color w:val="auto"/>
                <w:kern w:val="0"/>
                <w:sz w:val="21"/>
                <w:szCs w:val="21"/>
                <w:lang w:val="en-US" w:eastAsia="zh-CN"/>
              </w:rPr>
              <w:t>h</w:t>
            </w:r>
            <w:r>
              <w:rPr>
                <w:rFonts w:hint="eastAsia" w:asciiTheme="minorEastAsia" w:hAnsiTheme="minorEastAsia" w:eastAsiaTheme="minorEastAsia" w:cstheme="minorEastAsia"/>
                <w:color w:val="auto"/>
                <w:kern w:val="0"/>
                <w:sz w:val="21"/>
                <w:szCs w:val="21"/>
              </w:rPr>
              <w:t>，当日4小时原厂备件上门更换服务，配置专属金牌服务经理及专属800/400技术支持电话，并提供厂商证明。</w:t>
            </w:r>
          </w:p>
        </w:tc>
      </w:tr>
      <w:tr>
        <w:tblPrEx>
          <w:tblLayout w:type="fixed"/>
          <w:tblCellMar>
            <w:top w:w="0" w:type="dxa"/>
            <w:left w:w="108" w:type="dxa"/>
            <w:bottom w:w="0" w:type="dxa"/>
            <w:right w:w="108" w:type="dxa"/>
          </w:tblCellMar>
        </w:tblPrEx>
        <w:trPr>
          <w:trHeight w:val="540"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214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p>
        </w:tc>
        <w:tc>
          <w:tcPr>
            <w:tcW w:w="6600"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可提供硬盘保留服务，在保修期内硬盘故障情况下，免费替换硬盘同时保留故障硬盘，数据安全更有保障。</w:t>
            </w:r>
          </w:p>
        </w:tc>
      </w:tr>
    </w:tbl>
    <w:p>
      <w:pPr>
        <w:pStyle w:val="19"/>
        <w:numPr>
          <w:ilvl w:val="255"/>
          <w:numId w:val="0"/>
        </w:numPr>
        <w:spacing w:before="156" w:beforeLines="50" w:after="156" w:afterLines="50"/>
        <w:rPr>
          <w:rFonts w:ascii="宋体" w:hAnsi="宋体" w:cstheme="minorEastAsia"/>
          <w:b/>
          <w:color w:val="auto"/>
          <w:sz w:val="24"/>
        </w:rPr>
      </w:pPr>
    </w:p>
    <w:p>
      <w:pPr>
        <w:pStyle w:val="19"/>
        <w:numPr>
          <w:ilvl w:val="255"/>
          <w:numId w:val="0"/>
        </w:numPr>
        <w:spacing w:before="156" w:beforeLines="50" w:after="156" w:afterLines="50"/>
        <w:rPr>
          <w:rFonts w:ascii="宋体" w:hAnsi="宋体" w:cstheme="minorEastAsia"/>
          <w:b/>
          <w:color w:val="auto"/>
          <w:sz w:val="21"/>
          <w:szCs w:val="21"/>
        </w:rPr>
      </w:pPr>
      <w:r>
        <w:rPr>
          <w:rFonts w:hint="eastAsia" w:ascii="宋体" w:hAnsi="宋体" w:cstheme="minorEastAsia"/>
          <w:b/>
          <w:color w:val="auto"/>
          <w:sz w:val="21"/>
          <w:szCs w:val="21"/>
          <w:lang w:val="en-US" w:eastAsia="zh-CN"/>
        </w:rPr>
        <w:t>2.</w:t>
      </w:r>
      <w:r>
        <w:rPr>
          <w:rFonts w:hint="eastAsia" w:ascii="宋体" w:hAnsi="宋体" w:cstheme="minorEastAsia"/>
          <w:b/>
          <w:color w:val="auto"/>
          <w:sz w:val="21"/>
          <w:szCs w:val="21"/>
          <w:lang w:val="en-US" w:eastAsia="zh-CN"/>
        </w:rPr>
        <w:tab/>
      </w:r>
      <w:r>
        <w:rPr>
          <w:rFonts w:hint="eastAsia" w:ascii="宋体" w:hAnsi="宋体" w:cstheme="minorEastAsia"/>
          <w:b/>
          <w:color w:val="auto"/>
          <w:sz w:val="21"/>
          <w:szCs w:val="21"/>
        </w:rPr>
        <w:t>数据存储设备</w:t>
      </w:r>
    </w:p>
    <w:tbl>
      <w:tblPr>
        <w:tblStyle w:val="13"/>
        <w:tblW w:w="9663" w:type="dxa"/>
        <w:tblInd w:w="113" w:type="dxa"/>
        <w:tblLayout w:type="fixed"/>
        <w:tblCellMar>
          <w:top w:w="0" w:type="dxa"/>
          <w:left w:w="108" w:type="dxa"/>
          <w:bottom w:w="0" w:type="dxa"/>
          <w:right w:w="108" w:type="dxa"/>
        </w:tblCellMar>
      </w:tblPr>
      <w:tblGrid>
        <w:gridCol w:w="875"/>
        <w:gridCol w:w="2126"/>
        <w:gridCol w:w="6662"/>
      </w:tblGrid>
      <w:tr>
        <w:tblPrEx>
          <w:tblLayout w:type="fixed"/>
          <w:tblCellMar>
            <w:top w:w="0" w:type="dxa"/>
            <w:left w:w="108" w:type="dxa"/>
            <w:bottom w:w="0" w:type="dxa"/>
            <w:right w:w="108" w:type="dxa"/>
          </w:tblCellMar>
        </w:tblPrEx>
        <w:trPr>
          <w:trHeight w:val="815" w:hRule="atLeast"/>
        </w:trPr>
        <w:tc>
          <w:tcPr>
            <w:tcW w:w="87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after="0"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项目</w:t>
            </w:r>
          </w:p>
        </w:tc>
        <w:tc>
          <w:tcPr>
            <w:tcW w:w="212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after="0"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指标</w:t>
            </w:r>
          </w:p>
        </w:tc>
        <w:tc>
          <w:tcPr>
            <w:tcW w:w="6662"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spacing w:after="0"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存储参数要求</w:t>
            </w:r>
          </w:p>
        </w:tc>
      </w:tr>
      <w:tr>
        <w:tblPrEx>
          <w:tblLayout w:type="fixed"/>
          <w:tblCellMar>
            <w:top w:w="0" w:type="dxa"/>
            <w:left w:w="108" w:type="dxa"/>
            <w:bottom w:w="0" w:type="dxa"/>
            <w:right w:w="108" w:type="dxa"/>
          </w:tblCellMar>
        </w:tblPrEx>
        <w:trPr>
          <w:trHeight w:val="300" w:hRule="atLeast"/>
        </w:trPr>
        <w:tc>
          <w:tcPr>
            <w:tcW w:w="875" w:type="dxa"/>
            <w:vMerge w:val="restart"/>
            <w:tcBorders>
              <w:top w:val="single" w:color="auto" w:sz="4" w:space="0"/>
              <w:left w:val="single" w:color="auto" w:sz="4" w:space="0"/>
              <w:right w:val="single" w:color="auto" w:sz="4" w:space="0"/>
            </w:tcBorders>
            <w:vAlign w:val="center"/>
          </w:tcPr>
          <w:p>
            <w:pPr>
              <w:spacing w:after="0"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kern w:val="0"/>
                <w:sz w:val="21"/>
                <w:szCs w:val="21"/>
              </w:rPr>
              <w:t>产品</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kern w:val="0"/>
                <w:sz w:val="21"/>
                <w:szCs w:val="21"/>
              </w:rPr>
              <w:t>▲产品成熟度</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品牌知名度高，2018年Gartner 通用存储报告中位于通用存储魔力象限领导者象限</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外观</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不大于2U高度，带快速滑动导轨，带理线架</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控制器</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本次配置双控制器，互为冗余提供故障切换功能，避免单点故障</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每控制器包含不少于8GB 电池后备高速缓存，双控制器不少于16GB缓存</w:t>
            </w:r>
          </w:p>
        </w:tc>
      </w:tr>
      <w:tr>
        <w:tblPrEx>
          <w:tblLayout w:type="fixed"/>
          <w:tblCellMar>
            <w:top w:w="0" w:type="dxa"/>
            <w:left w:w="108" w:type="dxa"/>
            <w:bottom w:w="0" w:type="dxa"/>
            <w:right w:w="108" w:type="dxa"/>
          </w:tblCellMar>
        </w:tblPrEx>
        <w:trPr>
          <w:trHeight w:val="495"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每控制器包含不少于4个16Gb FC接口，双控制器不少于8个16Gb FC接口，并提供12Gb的扩展接口</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控制器可同时兼容FC和ISCSI协议，并提供不少于4个接口</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通过闪存保护永久性数据，提供高速缓存保护</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接口方式</w:t>
            </w:r>
          </w:p>
        </w:tc>
        <w:tc>
          <w:tcPr>
            <w:tcW w:w="6662"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双控制器配置不少于8个16Gb FC接口</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每控制器，不少于一个专用远程管理网口，不少于一个串口</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RAID支持</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支持的RAID 级别：0、1、10、5、6, Distributed RAID</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支持不少于1024个虚拟卷</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硬盘及扩展能力</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配置不少于2块 硬盘</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最高支持276块SAS硬盘扩展</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阵列和扩展存储模块型号都支持多种 SSD、15K、10K 和 NL-SAS 驱动器</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支持不同尺寸的硬盘：2.5寸、3.5寸</w:t>
            </w:r>
          </w:p>
        </w:tc>
      </w:tr>
      <w:tr>
        <w:tblPrEx>
          <w:tblLayout w:type="fixed"/>
          <w:tblCellMar>
            <w:top w:w="0" w:type="dxa"/>
            <w:left w:w="108" w:type="dxa"/>
            <w:bottom w:w="0" w:type="dxa"/>
            <w:right w:w="108" w:type="dxa"/>
          </w:tblCellMar>
        </w:tblPrEx>
        <w:trPr>
          <w:trHeight w:val="51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支持不同容量的硬盘：12TB;10TB,8TB,4TB/900GB;1.2TB;1.8TB; 480G SSD; 960G SSD; 1.92TB SSD</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支持同一盘柜内SSD、SAS硬盘混插，支持不同尺寸硬盘混插；</w:t>
            </w:r>
          </w:p>
        </w:tc>
      </w:tr>
      <w:tr>
        <w:tblPrEx>
          <w:tblLayout w:type="fixed"/>
          <w:tblCellMar>
            <w:top w:w="0" w:type="dxa"/>
            <w:left w:w="108" w:type="dxa"/>
            <w:bottom w:w="0" w:type="dxa"/>
            <w:right w:w="108" w:type="dxa"/>
          </w:tblCellMar>
        </w:tblPrEx>
        <w:trPr>
          <w:trHeight w:val="51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最大LUN支持：RAID0,1,10 (4TBx192=768TB), RAID5,6(4TBx30=120TB), DDP(64TB)</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单块硬盘最大支持12TB，总容量不少于4PB.</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当前配置： 6 *1.2TB, HDD</w:t>
            </w:r>
          </w:p>
        </w:tc>
      </w:tr>
      <w:tr>
        <w:tblPrEx>
          <w:tblLayout w:type="fixed"/>
          <w:tblCellMar>
            <w:top w:w="0" w:type="dxa"/>
            <w:left w:w="108" w:type="dxa"/>
            <w:bottom w:w="0" w:type="dxa"/>
            <w:right w:w="108" w:type="dxa"/>
          </w:tblCellMar>
        </w:tblPrEx>
        <w:trPr>
          <w:trHeight w:val="300" w:hRule="atLeast"/>
        </w:trPr>
        <w:tc>
          <w:tcPr>
            <w:tcW w:w="875" w:type="dxa"/>
            <w:vMerge w:val="restart"/>
            <w:tcBorders>
              <w:top w:val="nil"/>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管理功能</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▲管理/高级数据管理功能</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支持HTML5 GUI、CLI、REST 界面管理</w:t>
            </w:r>
          </w:p>
        </w:tc>
      </w:tr>
      <w:tr>
        <w:tblPrEx>
          <w:tblLayout w:type="fixed"/>
          <w:tblCellMar>
            <w:top w:w="0" w:type="dxa"/>
            <w:left w:w="108" w:type="dxa"/>
            <w:bottom w:w="0" w:type="dxa"/>
            <w:right w:w="108" w:type="dxa"/>
          </w:tblCellMar>
        </w:tblPrEx>
        <w:trPr>
          <w:trHeight w:val="51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配置多路径软件，提供服务器与存储阵列之间冗余数据路径的故障转移管理</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支持制作数据的时间点快照以用于备份和其他操作。</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每个系统总共1024个快照。</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支持基于IP远程管理，基于WEB图形界面方式</w:t>
            </w:r>
          </w:p>
        </w:tc>
      </w:tr>
      <w:tr>
        <w:tblPrEx>
          <w:tblLayout w:type="fixed"/>
          <w:tblCellMar>
            <w:top w:w="0" w:type="dxa"/>
            <w:left w:w="108" w:type="dxa"/>
            <w:bottom w:w="0" w:type="dxa"/>
            <w:right w:w="108" w:type="dxa"/>
          </w:tblCellMar>
        </w:tblPrEx>
        <w:trPr>
          <w:trHeight w:val="735"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支持虚拟磁盘备份(VDC) ：制作现有虚拟磁盘在某个时间点上的完整精确副本，用于决策支持和软件开发测试。</w:t>
            </w:r>
          </w:p>
        </w:tc>
      </w:tr>
      <w:tr>
        <w:tblPrEx>
          <w:tblLayout w:type="fixed"/>
          <w:tblCellMar>
            <w:top w:w="0" w:type="dxa"/>
            <w:left w:w="108" w:type="dxa"/>
            <w:bottom w:w="0" w:type="dxa"/>
            <w:right w:w="108" w:type="dxa"/>
          </w:tblCellMar>
        </w:tblPrEx>
        <w:trPr>
          <w:trHeight w:val="555"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提供软件管理包括 自动分层，精简配置，SSD读缓存，远程复制，卷拷贝及Vcenter/SRM 集成等功能</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支持IP及光纤远程复制功能：可以实现异步镜像</w:t>
            </w:r>
          </w:p>
        </w:tc>
      </w:tr>
      <w:tr>
        <w:tblPrEx>
          <w:tblLayout w:type="fixed"/>
          <w:tblCellMar>
            <w:top w:w="0" w:type="dxa"/>
            <w:left w:w="108" w:type="dxa"/>
            <w:bottom w:w="0" w:type="dxa"/>
            <w:right w:w="108" w:type="dxa"/>
          </w:tblCellMar>
        </w:tblPrEx>
        <w:trPr>
          <w:trHeight w:val="465"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支持基于快照技术的远程异步复制功能</w:t>
            </w:r>
          </w:p>
        </w:tc>
      </w:tr>
      <w:tr>
        <w:tblPrEx>
          <w:tblLayout w:type="fixed"/>
          <w:tblCellMar>
            <w:top w:w="0" w:type="dxa"/>
            <w:left w:w="108" w:type="dxa"/>
            <w:bottom w:w="0" w:type="dxa"/>
            <w:right w:w="108" w:type="dxa"/>
          </w:tblCellMar>
        </w:tblPrEx>
        <w:trPr>
          <w:trHeight w:val="39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支持Distributed RAID 可同时加入高于12块硬盘并实现高速硬盘重建。</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支持Vmware VAAI</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支持4TB SSD读缓存</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支持服务器Cluster集群功能</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支持硬件故障检测,诊断功能</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▲纯软件版本</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原厂提供一套虚拟化平台下的纯软件版本存储，支持软件定义存储，不限定后台存储平台，便于现有设备整合和利旧。与硬件版本之间实现容灾复制以保护核心数据。有效容量为4T。</w:t>
            </w:r>
          </w:p>
        </w:tc>
      </w:tr>
      <w:tr>
        <w:tblPrEx>
          <w:tblLayout w:type="fixed"/>
          <w:tblCellMar>
            <w:top w:w="0" w:type="dxa"/>
            <w:left w:w="108" w:type="dxa"/>
            <w:bottom w:w="0" w:type="dxa"/>
            <w:right w:w="108" w:type="dxa"/>
          </w:tblCellMar>
        </w:tblPrEx>
        <w:trPr>
          <w:trHeight w:val="300" w:hRule="atLeast"/>
        </w:trPr>
        <w:tc>
          <w:tcPr>
            <w:tcW w:w="875" w:type="dxa"/>
            <w:vMerge w:val="restart"/>
            <w:tcBorders>
              <w:top w:val="nil"/>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配件</w:t>
            </w: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SAS HBA卡</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16GB FC HBA卡</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电源</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冗余双电源模块</w:t>
            </w:r>
          </w:p>
        </w:tc>
      </w:tr>
      <w:tr>
        <w:tblPrEx>
          <w:tblLayout w:type="fixed"/>
          <w:tblCellMar>
            <w:top w:w="0" w:type="dxa"/>
            <w:left w:w="108" w:type="dxa"/>
            <w:bottom w:w="0" w:type="dxa"/>
            <w:right w:w="108" w:type="dxa"/>
          </w:tblCellMar>
        </w:tblPrEx>
        <w:trPr>
          <w:trHeight w:val="300" w:hRule="atLeast"/>
        </w:trPr>
        <w:tc>
          <w:tcPr>
            <w:tcW w:w="875" w:type="dxa"/>
            <w:vMerge w:val="continue"/>
            <w:tcBorders>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风扇</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冗余风扇模块</w:t>
            </w:r>
          </w:p>
        </w:tc>
      </w:tr>
      <w:tr>
        <w:tblPrEx>
          <w:tblLayout w:type="fixed"/>
          <w:tblCellMar>
            <w:top w:w="0" w:type="dxa"/>
            <w:left w:w="108" w:type="dxa"/>
            <w:bottom w:w="0" w:type="dxa"/>
            <w:right w:w="108" w:type="dxa"/>
          </w:tblCellMar>
        </w:tblPrEx>
        <w:trPr>
          <w:trHeight w:val="975" w:hRule="atLeast"/>
        </w:trPr>
        <w:tc>
          <w:tcPr>
            <w:tcW w:w="875" w:type="dxa"/>
            <w:tcBorders>
              <w:top w:val="nil"/>
              <w:left w:val="single" w:color="auto" w:sz="4" w:space="0"/>
              <w:bottom w:val="nil"/>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服务</w:t>
            </w:r>
          </w:p>
        </w:tc>
        <w:tc>
          <w:tcPr>
            <w:tcW w:w="2126"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▲服务</w:t>
            </w:r>
          </w:p>
        </w:tc>
        <w:tc>
          <w:tcPr>
            <w:tcW w:w="6662"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3年IT专业支持与关键任务，</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年当日 4小时（24X7）上门服务（配件+人力)，人工、配件、交通等任何费用全免；高级软件支持；原厂本地技术客户经理24×7电话支持，可选硬盘不返还服务；要求提供原厂商正式服务承诺函；要求必须提供原厂商产品授权证明。</w:t>
            </w:r>
            <w:r>
              <w:rPr>
                <w:rFonts w:hint="eastAsia" w:asciiTheme="minorEastAsia" w:hAnsiTheme="minorEastAsia" w:eastAsiaTheme="minorEastAsia" w:cstheme="minorEastAsia"/>
                <w:color w:val="auto"/>
                <w:kern w:val="0"/>
                <w:sz w:val="21"/>
                <w:szCs w:val="21"/>
              </w:rPr>
              <w:t>与原有业务平台兼容，提供CNware原厂工程师服务并出具原厂授权。</w:t>
            </w:r>
          </w:p>
        </w:tc>
      </w:tr>
      <w:tr>
        <w:tblPrEx>
          <w:tblLayout w:type="fixed"/>
          <w:tblCellMar>
            <w:top w:w="0" w:type="dxa"/>
            <w:left w:w="108" w:type="dxa"/>
            <w:bottom w:w="0" w:type="dxa"/>
            <w:right w:w="108" w:type="dxa"/>
          </w:tblCellMar>
        </w:tblPrEx>
        <w:trPr>
          <w:trHeight w:val="975" w:hRule="atLeast"/>
        </w:trPr>
        <w:tc>
          <w:tcPr>
            <w:tcW w:w="875" w:type="dxa"/>
            <w:tcBorders>
              <w:top w:val="nil"/>
              <w:left w:val="single" w:color="auto" w:sz="4" w:space="0"/>
              <w:bottom w:val="single" w:color="auto" w:sz="4" w:space="0"/>
              <w:right w:val="single" w:color="auto" w:sz="4" w:space="0"/>
            </w:tcBorders>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安装及部署服务</w:t>
            </w:r>
          </w:p>
        </w:tc>
        <w:tc>
          <w:tcPr>
            <w:tcW w:w="66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承担现有采购人现有系统对接和数据迁移，含专业部署服务，以及根据采购人需求安装指定的软件。</w:t>
            </w:r>
          </w:p>
        </w:tc>
      </w:tr>
    </w:tbl>
    <w:p>
      <w:pPr>
        <w:numPr>
          <w:ilvl w:val="0"/>
          <w:numId w:val="0"/>
        </w:numPr>
        <w:tabs>
          <w:tab w:val="left" w:pos="0"/>
        </w:tabs>
        <w:spacing w:line="360" w:lineRule="auto"/>
        <w:ind w:leftChars="0" w:firstLine="423"/>
        <w:rPr>
          <w:rFonts w:hint="eastAsia" w:asciiTheme="minorEastAsia" w:hAnsiTheme="minorEastAsia" w:eastAsiaTheme="minorEastAsia" w:cstheme="minorEastAsia"/>
          <w:b/>
          <w:color w:val="auto"/>
          <w:szCs w:val="21"/>
          <w:highlight w:val="none"/>
        </w:rPr>
      </w:pPr>
    </w:p>
    <w:p>
      <w:pPr>
        <w:numPr>
          <w:ilvl w:val="0"/>
          <w:numId w:val="12"/>
        </w:numPr>
        <w:spacing w:line="360" w:lineRule="auto"/>
        <w:ind w:left="0" w:leftChars="0" w:firstLine="0" w:firstLineChars="0"/>
        <w:outlineLvl w:val="1"/>
        <w:rPr>
          <w:rFonts w:hint="eastAsia" w:asciiTheme="minorEastAsia" w:hAnsiTheme="minorEastAsia" w:eastAsiaTheme="minorEastAsia" w:cstheme="minorEastAsia"/>
          <w:b/>
          <w:color w:val="auto"/>
          <w:szCs w:val="21"/>
          <w:lang w:val="zh-CN"/>
        </w:rPr>
      </w:pPr>
      <w:bookmarkStart w:id="195" w:name="_Toc24996"/>
      <w:r>
        <w:rPr>
          <w:rFonts w:hint="eastAsia" w:asciiTheme="minorEastAsia" w:hAnsiTheme="minorEastAsia" w:eastAsiaTheme="minorEastAsia" w:cstheme="minorEastAsia"/>
          <w:b/>
          <w:color w:val="auto"/>
          <w:szCs w:val="21"/>
          <w:lang w:val="en-US" w:eastAsia="zh-CN"/>
        </w:rPr>
        <w:t>项目商务</w:t>
      </w:r>
      <w:r>
        <w:rPr>
          <w:rFonts w:hint="eastAsia" w:asciiTheme="minorEastAsia" w:hAnsiTheme="minorEastAsia" w:eastAsiaTheme="minorEastAsia" w:cstheme="minorEastAsia"/>
          <w:b/>
          <w:color w:val="auto"/>
          <w:szCs w:val="21"/>
          <w:lang w:eastAsia="zh-CN"/>
        </w:rPr>
        <w:t>要求</w:t>
      </w:r>
      <w:bookmarkEnd w:id="195"/>
    </w:p>
    <w:p>
      <w:pPr>
        <w:numPr>
          <w:ilvl w:val="0"/>
          <w:numId w:val="0"/>
        </w:numPr>
        <w:tabs>
          <w:tab w:val="left" w:pos="0"/>
        </w:tabs>
        <w:spacing w:line="360" w:lineRule="auto"/>
        <w:ind w:leftChars="0"/>
        <w:rPr>
          <w:rFonts w:hint="eastAsia" w:asciiTheme="minorEastAsia" w:hAnsiTheme="minorEastAsia" w:eastAsiaTheme="minorEastAsia" w:cstheme="minorEastAsia"/>
          <w:b/>
          <w:bCs/>
          <w:color w:val="auto"/>
          <w:szCs w:val="21"/>
          <w:lang w:val="zh-CN" w:eastAsia="zh-CN"/>
        </w:rPr>
      </w:pPr>
      <w:r>
        <w:rPr>
          <w:rFonts w:hint="eastAsia" w:ascii="宋体" w:hAnsi="宋体" w:cstheme="minorEastAsia"/>
          <w:b/>
          <w:bCs/>
          <w:color w:val="auto"/>
          <w:lang w:val="en-US" w:eastAsia="zh-CN"/>
        </w:rPr>
        <w:t>1.</w:t>
      </w:r>
      <w:r>
        <w:rPr>
          <w:rFonts w:hint="eastAsia" w:ascii="宋体" w:hAnsi="宋体" w:cstheme="minorEastAsia"/>
          <w:b/>
          <w:bCs/>
          <w:color w:val="auto"/>
          <w:lang w:val="en-US" w:eastAsia="zh-CN"/>
        </w:rPr>
        <w:tab/>
      </w:r>
      <w:r>
        <w:rPr>
          <w:rFonts w:hint="eastAsia" w:ascii="宋体" w:hAnsi="宋体" w:cstheme="minorEastAsia"/>
          <w:b/>
          <w:bCs/>
          <w:color w:val="auto"/>
          <w:lang w:val="en-US" w:eastAsia="zh-CN"/>
        </w:rPr>
        <w:t>基本要求</w:t>
      </w:r>
    </w:p>
    <w:p>
      <w:pPr>
        <w:adjustRightInd w:val="0"/>
        <w:snapToGrid w:val="0"/>
        <w:spacing w:line="360" w:lineRule="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1）竞选人应具备《中华人民共和国政府采购法》第二十二条规定的条件。</w:t>
      </w:r>
    </w:p>
    <w:p>
      <w:pPr>
        <w:adjustRightInd w:val="0"/>
        <w:snapToGrid w:val="0"/>
        <w:spacing w:line="360" w:lineRule="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2）竞选人报价应为完成本项目全部内容所需费用的含税价，包括但不限于货物的设计、制造、包装、仓储、运输、保险、安装、随机零配件、标配工具、调试、试运行、验收、培训、质保期服务、合同实施过程中应预见和不可预见费用、办理银行保函所需的一切费用等的人民币含税价，并按</w:t>
      </w:r>
      <w:bookmarkStart w:id="196" w:name="_Toc435515305"/>
      <w:r>
        <w:rPr>
          <w:rFonts w:hint="eastAsia" w:asciiTheme="minorEastAsia" w:hAnsiTheme="minorEastAsia" w:eastAsiaTheme="minorEastAsia" w:cstheme="minorEastAsia"/>
          <w:b w:val="0"/>
          <w:bCs w:val="0"/>
          <w:color w:val="auto"/>
          <w:lang w:val="en-US" w:eastAsia="zh-CN"/>
        </w:rPr>
        <w:t>响应一览表(报价表)</w:t>
      </w:r>
      <w:bookmarkEnd w:id="196"/>
      <w:r>
        <w:rPr>
          <w:rFonts w:hint="eastAsia" w:asciiTheme="minorEastAsia" w:hAnsiTheme="minorEastAsia" w:eastAsiaTheme="minorEastAsia" w:cstheme="minorEastAsia"/>
          <w:b w:val="0"/>
          <w:bCs w:val="0"/>
          <w:color w:val="auto"/>
          <w:lang w:val="en-US" w:eastAsia="zh-CN"/>
        </w:rPr>
        <w:t>进行明细报价。</w:t>
      </w:r>
    </w:p>
    <w:p>
      <w:pPr>
        <w:adjustRightInd w:val="0"/>
        <w:snapToGrid w:val="0"/>
        <w:spacing w:line="360" w:lineRule="auto"/>
        <w:rPr>
          <w:rFonts w:hint="eastAsia" w:asciiTheme="minorEastAsia" w:hAnsiTheme="minorEastAsia" w:eastAsiaTheme="minorEastAsia" w:cstheme="minorEastAsia"/>
          <w:b/>
          <w:bCs/>
          <w:color w:val="auto"/>
          <w:szCs w:val="21"/>
          <w:highlight w:val="none"/>
          <w:lang w:val="zh-CN" w:eastAsia="zh-CN"/>
        </w:rPr>
      </w:pPr>
      <w:r>
        <w:rPr>
          <w:rFonts w:hint="eastAsia" w:asciiTheme="minorEastAsia" w:hAnsiTheme="minorEastAsia" w:eastAsiaTheme="minorEastAsia" w:cstheme="minorEastAsia"/>
          <w:b/>
          <w:bCs/>
          <w:color w:val="auto"/>
        </w:rPr>
        <w:t>2.</w:t>
      </w:r>
      <w:r>
        <w:rPr>
          <w:rFonts w:hint="eastAsia" w:asciiTheme="minorEastAsia" w:hAnsiTheme="minorEastAsia" w:eastAsiaTheme="minorEastAsia" w:cstheme="minorEastAsia"/>
          <w:b/>
          <w:bCs/>
          <w:color w:val="auto"/>
          <w:lang w:val="en-US" w:eastAsia="zh-CN"/>
        </w:rPr>
        <w:tab/>
      </w:r>
      <w:r>
        <w:rPr>
          <w:rFonts w:hint="eastAsia" w:asciiTheme="minorEastAsia" w:hAnsiTheme="minorEastAsia" w:eastAsiaTheme="minorEastAsia" w:cstheme="minorEastAsia"/>
          <w:b/>
          <w:bCs/>
          <w:color w:val="auto"/>
          <w:lang w:val="en-US" w:eastAsia="zh-CN"/>
        </w:rPr>
        <w:t>项目</w:t>
      </w:r>
      <w:r>
        <w:rPr>
          <w:rFonts w:hint="eastAsia" w:asciiTheme="minorEastAsia" w:hAnsiTheme="minorEastAsia" w:eastAsiaTheme="minorEastAsia" w:cstheme="minorEastAsia"/>
          <w:b/>
          <w:bCs/>
          <w:color w:val="auto"/>
          <w:szCs w:val="21"/>
          <w:highlight w:val="none"/>
          <w:lang w:val="zh-CN" w:eastAsia="zh-CN"/>
        </w:rPr>
        <w:t>进度要求</w:t>
      </w:r>
    </w:p>
    <w:p>
      <w:pPr>
        <w:numPr>
          <w:ilvl w:val="-1"/>
          <w:numId w:val="0"/>
        </w:numPr>
        <w:spacing w:line="360" w:lineRule="auto"/>
        <w:ind w:left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1）竞选人应在收到中选通知书后7个工作日内签订合同；    </w:t>
      </w:r>
    </w:p>
    <w:p>
      <w:pPr>
        <w:numPr>
          <w:ilvl w:val="-1"/>
          <w:numId w:val="0"/>
        </w:numPr>
        <w:spacing w:line="360" w:lineRule="auto"/>
        <w:ind w:leftChars="0"/>
        <w:rPr>
          <w:rFonts w:hint="eastAsia" w:asciiTheme="minorEastAsia" w:hAnsiTheme="minorEastAsia" w:eastAsiaTheme="minorEastAsia" w:cstheme="minorEastAsia"/>
          <w:b w:val="0"/>
          <w:bCs w:val="0"/>
          <w:color w:val="auto"/>
          <w:sz w:val="21"/>
          <w:szCs w:val="21"/>
          <w:highlight w:val="none"/>
          <w:lang w:val="zh-CN"/>
        </w:rPr>
      </w:pPr>
      <w:r>
        <w:rPr>
          <w:rFonts w:hint="eastAsia" w:asciiTheme="minorEastAsia" w:hAnsiTheme="minorEastAsia" w:eastAsiaTheme="minorEastAsia" w:cstheme="minorEastAsia"/>
          <w:b w:val="0"/>
          <w:bCs w:val="0"/>
          <w:color w:val="auto"/>
          <w:sz w:val="21"/>
          <w:szCs w:val="21"/>
          <w:highlight w:val="none"/>
          <w:lang w:val="en-US" w:eastAsia="zh-CN"/>
        </w:rPr>
        <w:t>2）竞选人应</w:t>
      </w:r>
      <w:r>
        <w:rPr>
          <w:rFonts w:hint="eastAsia" w:asciiTheme="minorEastAsia" w:hAnsiTheme="minorEastAsia" w:eastAsiaTheme="minorEastAsia" w:cstheme="minorEastAsia"/>
          <w:b w:val="0"/>
          <w:bCs w:val="0"/>
          <w:color w:val="auto"/>
          <w:sz w:val="21"/>
          <w:szCs w:val="21"/>
          <w:highlight w:val="none"/>
          <w:lang w:val="zh-CN"/>
        </w:rPr>
        <w:t>在合同签订之日起</w:t>
      </w:r>
      <w:r>
        <w:rPr>
          <w:rFonts w:hint="eastAsia" w:asciiTheme="minorEastAsia" w:hAnsiTheme="minorEastAsia" w:eastAsiaTheme="minorEastAsia" w:cstheme="minorEastAsia"/>
          <w:b w:val="0"/>
          <w:bCs w:val="0"/>
          <w:color w:val="auto"/>
          <w:sz w:val="21"/>
          <w:szCs w:val="21"/>
          <w:highlight w:val="none"/>
          <w:lang w:val="en-US" w:eastAsia="zh-CN"/>
        </w:rPr>
        <w:t>30日日历日</w:t>
      </w:r>
      <w:r>
        <w:rPr>
          <w:rFonts w:hint="eastAsia" w:asciiTheme="minorEastAsia" w:hAnsiTheme="minorEastAsia" w:eastAsiaTheme="minorEastAsia" w:cstheme="minorEastAsia"/>
          <w:b w:val="0"/>
          <w:bCs w:val="0"/>
          <w:color w:val="auto"/>
          <w:sz w:val="21"/>
          <w:szCs w:val="21"/>
          <w:highlight w:val="none"/>
          <w:lang w:val="zh-CN"/>
        </w:rPr>
        <w:t>内完成本采购文件提出的系统</w:t>
      </w:r>
      <w:r>
        <w:rPr>
          <w:rFonts w:hint="eastAsia" w:asciiTheme="minorEastAsia" w:hAnsiTheme="minorEastAsia" w:eastAsiaTheme="minorEastAsia" w:cstheme="minorEastAsia"/>
          <w:b w:val="0"/>
          <w:bCs w:val="0"/>
          <w:color w:val="auto"/>
          <w:sz w:val="21"/>
          <w:szCs w:val="21"/>
          <w:highlight w:val="none"/>
          <w:lang w:val="en-US" w:eastAsia="zh-CN"/>
        </w:rPr>
        <w:t>搭建及数据迁移专业部署服务要求</w:t>
      </w:r>
      <w:r>
        <w:rPr>
          <w:rFonts w:hint="eastAsia" w:asciiTheme="minorEastAsia" w:hAnsiTheme="minorEastAsia" w:eastAsiaTheme="minorEastAsia" w:cstheme="minorEastAsia"/>
          <w:b w:val="0"/>
          <w:bCs w:val="0"/>
          <w:color w:val="auto"/>
          <w:sz w:val="21"/>
          <w:szCs w:val="21"/>
          <w:highlight w:val="none"/>
          <w:lang w:val="zh-CN"/>
        </w:rPr>
        <w:t>；</w:t>
      </w:r>
    </w:p>
    <w:p>
      <w:pPr>
        <w:numPr>
          <w:ilvl w:val="0"/>
          <w:numId w:val="0"/>
        </w:numPr>
        <w:spacing w:line="360" w:lineRule="auto"/>
        <w:ind w:leftChars="0"/>
        <w:rPr>
          <w:rFonts w:hint="eastAsia" w:asciiTheme="minorEastAsia" w:hAnsiTheme="minorEastAsia" w:eastAsiaTheme="minorEastAsia" w:cstheme="minorEastAsia"/>
          <w:b/>
          <w:bCs w:val="0"/>
          <w:color w:val="auto"/>
          <w:szCs w:val="21"/>
          <w:lang w:val="en-US" w:eastAsia="zh-CN"/>
        </w:rPr>
      </w:pPr>
      <w:r>
        <w:rPr>
          <w:rFonts w:hint="eastAsia" w:asciiTheme="minorEastAsia" w:hAnsiTheme="minorEastAsia" w:eastAsiaTheme="minorEastAsia" w:cstheme="minorEastAsia"/>
          <w:b/>
          <w:bCs w:val="0"/>
          <w:color w:val="auto"/>
          <w:szCs w:val="21"/>
          <w:lang w:val="en-US" w:eastAsia="zh-CN"/>
        </w:rPr>
        <w:t>3.</w:t>
      </w:r>
      <w:r>
        <w:rPr>
          <w:rFonts w:hint="eastAsia" w:asciiTheme="minorEastAsia" w:hAnsiTheme="minorEastAsia" w:eastAsiaTheme="minorEastAsia" w:cstheme="minorEastAsia"/>
          <w:b/>
          <w:bCs w:val="0"/>
          <w:color w:val="auto"/>
          <w:szCs w:val="21"/>
          <w:lang w:val="en-US" w:eastAsia="zh-CN"/>
        </w:rPr>
        <w:tab/>
      </w:r>
      <w:r>
        <w:rPr>
          <w:rFonts w:hint="eastAsia" w:asciiTheme="minorEastAsia" w:hAnsiTheme="minorEastAsia" w:eastAsiaTheme="minorEastAsia" w:cstheme="minorEastAsia"/>
          <w:b/>
          <w:bCs w:val="0"/>
          <w:color w:val="auto"/>
          <w:szCs w:val="21"/>
          <w:lang w:val="en-US" w:eastAsia="zh-CN"/>
        </w:rPr>
        <w:t>交货要求</w:t>
      </w:r>
    </w:p>
    <w:p>
      <w:pPr>
        <w:adjustRightInd w:val="0"/>
        <w:snapToGrid w:val="0"/>
        <w:spacing w:line="360" w:lineRule="auto"/>
        <w:rPr>
          <w:rFonts w:ascii="宋体" w:hAnsi="宋体" w:cstheme="minorEastAsia"/>
          <w:color w:val="auto"/>
        </w:rPr>
      </w:pPr>
      <w:r>
        <w:rPr>
          <w:rFonts w:hint="eastAsia" w:ascii="宋体" w:hAnsi="宋体" w:cstheme="minorEastAsia"/>
          <w:color w:val="auto"/>
        </w:rPr>
        <w:t>1</w:t>
      </w:r>
      <w:r>
        <w:rPr>
          <w:rFonts w:hint="eastAsia" w:ascii="宋体" w:hAnsi="宋体" w:cstheme="minorEastAsia"/>
          <w:color w:val="auto"/>
          <w:lang w:eastAsia="zh-CN"/>
        </w:rPr>
        <w:t>）</w:t>
      </w:r>
      <w:r>
        <w:rPr>
          <w:rFonts w:hint="eastAsia" w:ascii="宋体" w:hAnsi="宋体" w:cstheme="minorEastAsia"/>
          <w:color w:val="auto"/>
          <w:lang w:val="en-US" w:eastAsia="zh-CN"/>
        </w:rPr>
        <w:t>中选人</w:t>
      </w:r>
      <w:r>
        <w:rPr>
          <w:rFonts w:hint="eastAsia" w:ascii="宋体" w:hAnsi="宋体" w:cstheme="minorEastAsia"/>
          <w:color w:val="auto"/>
        </w:rPr>
        <w:t>提供的</w:t>
      </w:r>
      <w:r>
        <w:rPr>
          <w:rFonts w:hint="eastAsia" w:ascii="宋体" w:hAnsi="宋体" w:cstheme="minorEastAsia"/>
          <w:color w:val="auto"/>
          <w:lang w:val="en-US" w:eastAsia="zh-CN"/>
        </w:rPr>
        <w:t>产品</w:t>
      </w:r>
      <w:r>
        <w:rPr>
          <w:rFonts w:hint="eastAsia" w:ascii="宋体" w:hAnsi="宋体" w:cstheme="minorEastAsia"/>
          <w:color w:val="auto"/>
        </w:rPr>
        <w:t>必须是全新的（包括所有零配件、专用工具等），表面无划伤，无碰撞，各项技术参数完全符合本</w:t>
      </w:r>
      <w:r>
        <w:rPr>
          <w:rFonts w:hint="eastAsia" w:ascii="宋体" w:hAnsi="宋体" w:cstheme="minorEastAsia"/>
          <w:color w:val="auto"/>
          <w:lang w:val="en-US" w:eastAsia="zh-CN"/>
        </w:rPr>
        <w:t>采购</w:t>
      </w:r>
      <w:r>
        <w:rPr>
          <w:rFonts w:hint="eastAsia" w:ascii="宋体" w:hAnsi="宋体" w:cstheme="minorEastAsia"/>
          <w:color w:val="auto"/>
        </w:rPr>
        <w:t>文件用户需求书的要求</w:t>
      </w:r>
      <w:r>
        <w:rPr>
          <w:rFonts w:hint="eastAsia" w:ascii="宋体" w:hAnsi="宋体" w:cstheme="minorEastAsia"/>
          <w:color w:val="auto"/>
          <w:lang w:eastAsia="zh-CN"/>
        </w:rPr>
        <w:t>，</w:t>
      </w:r>
      <w:r>
        <w:rPr>
          <w:rFonts w:hint="eastAsia" w:ascii="宋体" w:hAnsi="宋体" w:cstheme="minorEastAsia"/>
          <w:color w:val="auto"/>
        </w:rPr>
        <w:t>产品质量</w:t>
      </w:r>
      <w:r>
        <w:rPr>
          <w:rFonts w:hint="eastAsia" w:ascii="宋体" w:hAnsi="宋体" w:cstheme="minorEastAsia"/>
          <w:color w:val="auto"/>
          <w:lang w:val="en-US" w:eastAsia="zh-CN"/>
        </w:rPr>
        <w:t>应</w:t>
      </w:r>
      <w:r>
        <w:rPr>
          <w:rFonts w:hint="eastAsia" w:ascii="宋体" w:hAnsi="宋体" w:cstheme="minorEastAsia"/>
          <w:color w:val="auto"/>
        </w:rPr>
        <w:t>符合国家标准</w:t>
      </w:r>
      <w:r>
        <w:rPr>
          <w:rFonts w:hint="eastAsia" w:ascii="宋体" w:hAnsi="宋体" w:cstheme="minorEastAsia"/>
          <w:color w:val="auto"/>
          <w:lang w:eastAsia="zh-CN"/>
        </w:rPr>
        <w:t>。</w:t>
      </w:r>
    </w:p>
    <w:p>
      <w:pPr>
        <w:adjustRightInd w:val="0"/>
        <w:snapToGrid w:val="0"/>
        <w:spacing w:line="360" w:lineRule="auto"/>
        <w:rPr>
          <w:rFonts w:ascii="宋体" w:hAnsi="宋体" w:cstheme="minorEastAsia"/>
          <w:color w:val="auto"/>
        </w:rPr>
      </w:pPr>
      <w:r>
        <w:rPr>
          <w:rFonts w:hint="eastAsia" w:ascii="宋体" w:hAnsi="宋体" w:cstheme="minorEastAsia"/>
          <w:color w:val="auto"/>
        </w:rPr>
        <w:t>2</w:t>
      </w:r>
      <w:r>
        <w:rPr>
          <w:rFonts w:hint="eastAsia" w:ascii="宋体" w:hAnsi="宋体" w:cstheme="minorEastAsia"/>
          <w:color w:val="auto"/>
          <w:lang w:eastAsia="zh-CN"/>
        </w:rPr>
        <w:t>）</w:t>
      </w:r>
      <w:r>
        <w:rPr>
          <w:rFonts w:hint="eastAsia" w:ascii="宋体" w:hAnsi="宋体" w:cstheme="minorEastAsia"/>
          <w:color w:val="auto"/>
        </w:rPr>
        <w:t>在供货期内，所供应货物如需国家强制性认证的，供货时必须同时提供相应产品证书（提供承诺书）。</w:t>
      </w:r>
    </w:p>
    <w:p>
      <w:pPr>
        <w:adjustRightInd w:val="0"/>
        <w:snapToGrid w:val="0"/>
        <w:spacing w:line="360" w:lineRule="auto"/>
        <w:rPr>
          <w:rFonts w:ascii="宋体" w:hAnsi="宋体" w:cstheme="minorEastAsia"/>
          <w:color w:val="auto"/>
        </w:rPr>
      </w:pPr>
      <w:r>
        <w:rPr>
          <w:rFonts w:hint="eastAsia" w:ascii="宋体" w:hAnsi="宋体" w:cstheme="minorEastAsia"/>
          <w:color w:val="auto"/>
        </w:rPr>
        <w:t>3</w:t>
      </w:r>
      <w:r>
        <w:rPr>
          <w:rFonts w:hint="eastAsia" w:ascii="宋体" w:hAnsi="宋体" w:cstheme="minorEastAsia"/>
          <w:color w:val="auto"/>
          <w:lang w:eastAsia="zh-CN"/>
        </w:rPr>
        <w:t>）</w:t>
      </w:r>
      <w:r>
        <w:rPr>
          <w:rFonts w:hint="eastAsia" w:ascii="宋体" w:hAnsi="宋体" w:cstheme="minorEastAsia"/>
          <w:color w:val="auto"/>
        </w:rPr>
        <w:t>交货</w:t>
      </w:r>
      <w:r>
        <w:rPr>
          <w:rFonts w:hint="eastAsia" w:ascii="宋体" w:hAnsi="宋体" w:cstheme="minorEastAsia"/>
          <w:color w:val="auto"/>
          <w:lang w:val="en-US" w:eastAsia="zh-CN"/>
        </w:rPr>
        <w:t>期限</w:t>
      </w:r>
      <w:r>
        <w:rPr>
          <w:rFonts w:hint="eastAsia" w:ascii="宋体" w:hAnsi="宋体" w:cstheme="minorEastAsia"/>
          <w:color w:val="auto"/>
        </w:rPr>
        <w:t>：合同签订后</w:t>
      </w:r>
      <w:r>
        <w:rPr>
          <w:rFonts w:hint="eastAsia" w:ascii="宋体" w:hAnsi="宋体" w:cstheme="minorEastAsia"/>
          <w:color w:val="auto"/>
          <w:u w:val="single"/>
          <w:lang w:val="en-US" w:eastAsia="zh-CN"/>
        </w:rPr>
        <w:t>30</w:t>
      </w:r>
      <w:r>
        <w:rPr>
          <w:rFonts w:hint="eastAsia" w:ascii="宋体" w:hAnsi="宋体" w:cstheme="minorEastAsia"/>
          <w:color w:val="auto"/>
          <w:lang w:val="en-US" w:eastAsia="zh-CN"/>
        </w:rPr>
        <w:t>日历</w:t>
      </w:r>
      <w:r>
        <w:rPr>
          <w:rFonts w:hint="eastAsia" w:ascii="宋体" w:hAnsi="宋体" w:cstheme="minorEastAsia"/>
          <w:color w:val="auto"/>
        </w:rPr>
        <w:t>日内</w:t>
      </w:r>
      <w:r>
        <w:rPr>
          <w:rFonts w:hint="eastAsia" w:ascii="宋体" w:hAnsi="宋体" w:cstheme="minorEastAsia"/>
          <w:color w:val="auto"/>
          <w:lang w:val="en-US" w:eastAsia="zh-CN"/>
        </w:rPr>
        <w:t>完成</w:t>
      </w:r>
      <w:r>
        <w:rPr>
          <w:rFonts w:hint="eastAsia" w:ascii="宋体" w:hAnsi="宋体" w:cstheme="minorEastAsia"/>
          <w:color w:val="auto"/>
        </w:rPr>
        <w:t>。</w:t>
      </w:r>
    </w:p>
    <w:p>
      <w:pPr>
        <w:adjustRightInd w:val="0"/>
        <w:snapToGrid w:val="0"/>
        <w:spacing w:line="360" w:lineRule="auto"/>
        <w:rPr>
          <w:rFonts w:ascii="宋体" w:hAnsi="宋体" w:cstheme="minorEastAsia"/>
          <w:color w:val="auto"/>
        </w:rPr>
      </w:pPr>
      <w:r>
        <w:rPr>
          <w:rFonts w:hint="eastAsia" w:ascii="宋体" w:hAnsi="宋体" w:cstheme="minorEastAsia"/>
          <w:color w:val="auto"/>
        </w:rPr>
        <w:t>4</w:t>
      </w:r>
      <w:r>
        <w:rPr>
          <w:rFonts w:hint="eastAsia" w:ascii="宋体" w:hAnsi="宋体" w:cstheme="minorEastAsia"/>
          <w:color w:val="auto"/>
          <w:lang w:eastAsia="zh-CN"/>
        </w:rPr>
        <w:t>）</w:t>
      </w:r>
      <w:r>
        <w:rPr>
          <w:rFonts w:hint="eastAsia" w:ascii="宋体" w:hAnsi="宋体" w:cstheme="minorEastAsia"/>
          <w:color w:val="auto"/>
        </w:rPr>
        <w:t>交货地点：</w:t>
      </w:r>
      <w:r>
        <w:rPr>
          <w:rFonts w:hint="eastAsia" w:ascii="宋体" w:hAnsi="宋体" w:cstheme="minorEastAsia"/>
          <w:color w:val="auto"/>
          <w:lang w:val="en-US" w:eastAsia="zh-CN"/>
        </w:rPr>
        <w:t>广州市番禺区石楼镇潮田工业区珠江路1-2号综合楼3楼</w:t>
      </w:r>
    </w:p>
    <w:p>
      <w:pPr>
        <w:adjustRightInd w:val="0"/>
        <w:snapToGrid w:val="0"/>
        <w:spacing w:line="360" w:lineRule="auto"/>
        <w:rPr>
          <w:rFonts w:ascii="宋体" w:hAnsi="宋体" w:cstheme="minorEastAsia"/>
          <w:color w:val="auto"/>
        </w:rPr>
      </w:pPr>
      <w:r>
        <w:rPr>
          <w:rFonts w:hint="eastAsia" w:ascii="宋体" w:hAnsi="宋体" w:cstheme="minorEastAsia"/>
          <w:color w:val="auto"/>
        </w:rPr>
        <w:t>5</w:t>
      </w:r>
      <w:r>
        <w:rPr>
          <w:rFonts w:hint="eastAsia" w:ascii="宋体" w:hAnsi="宋体" w:cstheme="minorEastAsia"/>
          <w:color w:val="auto"/>
          <w:lang w:eastAsia="zh-CN"/>
        </w:rPr>
        <w:t>）</w:t>
      </w:r>
      <w:r>
        <w:rPr>
          <w:rFonts w:hint="eastAsia" w:ascii="宋体" w:hAnsi="宋体" w:cstheme="minorEastAsia"/>
          <w:color w:val="auto"/>
        </w:rPr>
        <w:t>货物在交货时须提供该批次的出厂合格证书和授权书原件。</w:t>
      </w:r>
    </w:p>
    <w:p>
      <w:pPr>
        <w:adjustRightInd w:val="0"/>
        <w:snapToGrid w:val="0"/>
        <w:spacing w:line="360" w:lineRule="auto"/>
        <w:rPr>
          <w:rFonts w:ascii="宋体" w:hAnsi="宋体" w:cstheme="minorEastAsia"/>
          <w:color w:val="auto"/>
        </w:rPr>
      </w:pPr>
      <w:r>
        <w:rPr>
          <w:rFonts w:hint="eastAsia" w:ascii="宋体" w:hAnsi="宋体" w:cstheme="minorEastAsia"/>
          <w:color w:val="auto"/>
        </w:rPr>
        <w:t>6</w:t>
      </w:r>
      <w:r>
        <w:rPr>
          <w:rFonts w:hint="eastAsia" w:ascii="宋体" w:hAnsi="宋体" w:cstheme="minorEastAsia"/>
          <w:color w:val="auto"/>
          <w:lang w:eastAsia="zh-CN"/>
        </w:rPr>
        <w:t>）</w:t>
      </w:r>
      <w:r>
        <w:rPr>
          <w:rFonts w:hint="eastAsia" w:ascii="宋体" w:hAnsi="宋体" w:cstheme="minorEastAsia"/>
          <w:color w:val="auto"/>
        </w:rPr>
        <w:t>配送要求：产品由</w:t>
      </w:r>
      <w:r>
        <w:rPr>
          <w:rFonts w:hint="eastAsia" w:ascii="宋体" w:hAnsi="宋体" w:cstheme="minorEastAsia"/>
          <w:color w:val="auto"/>
          <w:lang w:val="en-US" w:eastAsia="zh-CN"/>
        </w:rPr>
        <w:t>中选人</w:t>
      </w:r>
      <w:r>
        <w:rPr>
          <w:rFonts w:hint="eastAsia" w:ascii="宋体" w:hAnsi="宋体" w:cstheme="minorEastAsia"/>
          <w:color w:val="auto"/>
        </w:rPr>
        <w:t>直接配送</w:t>
      </w:r>
      <w:r>
        <w:rPr>
          <w:rFonts w:hint="eastAsia" w:ascii="宋体" w:hAnsi="宋体" w:cstheme="minorEastAsia"/>
          <w:color w:val="auto"/>
          <w:lang w:eastAsia="zh-CN"/>
        </w:rPr>
        <w:t>，</w:t>
      </w:r>
      <w:r>
        <w:rPr>
          <w:rFonts w:hint="eastAsia" w:ascii="宋体" w:hAnsi="宋体" w:cstheme="minorEastAsia"/>
          <w:color w:val="auto"/>
          <w:lang w:val="en-US" w:eastAsia="zh-CN"/>
        </w:rPr>
        <w:t>配送的</w:t>
      </w:r>
      <w:r>
        <w:rPr>
          <w:rFonts w:hint="eastAsia" w:ascii="宋体" w:hAnsi="宋体" w:cstheme="minorEastAsia"/>
          <w:color w:val="auto"/>
        </w:rPr>
        <w:t>产品应按有关要求进行包装并采用适当的运输方式运抵合同交货地点；货物的装卸、搬运由</w:t>
      </w:r>
      <w:r>
        <w:rPr>
          <w:rFonts w:hint="eastAsia" w:ascii="宋体" w:hAnsi="宋体" w:cstheme="minorEastAsia"/>
          <w:color w:val="auto"/>
          <w:lang w:val="en-US" w:eastAsia="zh-CN"/>
        </w:rPr>
        <w:t>中选人</w:t>
      </w:r>
      <w:r>
        <w:rPr>
          <w:rFonts w:hint="eastAsia" w:ascii="宋体" w:hAnsi="宋体" w:cstheme="minorEastAsia"/>
          <w:color w:val="auto"/>
        </w:rPr>
        <w:t>负责，采购人无义务提供装卸工具。</w:t>
      </w:r>
    </w:p>
    <w:p>
      <w:pPr>
        <w:adjustRightInd w:val="0"/>
        <w:snapToGrid w:val="0"/>
        <w:spacing w:line="360" w:lineRule="auto"/>
        <w:rPr>
          <w:rFonts w:hint="eastAsia" w:ascii="宋体" w:hAnsi="宋体" w:cstheme="minorEastAsia"/>
          <w:color w:val="auto"/>
        </w:rPr>
      </w:pPr>
      <w:r>
        <w:rPr>
          <w:rFonts w:hint="eastAsia" w:ascii="宋体" w:hAnsi="宋体" w:cstheme="minorEastAsia"/>
          <w:color w:val="auto"/>
          <w:lang w:val="en-US" w:eastAsia="zh-CN"/>
        </w:rPr>
        <w:t>7）中选人</w:t>
      </w:r>
      <w:r>
        <w:rPr>
          <w:rFonts w:hint="eastAsia" w:ascii="宋体" w:hAnsi="宋体" w:cstheme="minorEastAsia"/>
          <w:color w:val="auto"/>
        </w:rPr>
        <w:t>交货时须随附货物清单，且必须提供：货物原出厂产品合格证和相关所投产品的认证证书等有效证明文件。</w:t>
      </w:r>
    </w:p>
    <w:p>
      <w:pPr>
        <w:numPr>
          <w:ilvl w:val="0"/>
          <w:numId w:val="0"/>
        </w:numPr>
        <w:tabs>
          <w:tab w:val="left" w:pos="0"/>
        </w:tabs>
        <w:spacing w:line="360" w:lineRule="auto"/>
        <w:ind w:leftChars="0"/>
        <w:rPr>
          <w:rFonts w:hint="eastAsia" w:asciiTheme="minorEastAsia" w:hAnsiTheme="minorEastAsia" w:eastAsiaTheme="minorEastAsia" w:cstheme="minorEastAsia"/>
          <w:b w:val="0"/>
          <w:bCs w:val="0"/>
          <w:color w:val="auto"/>
          <w:sz w:val="21"/>
          <w:szCs w:val="21"/>
          <w:lang w:val="zh-CN"/>
        </w:rPr>
      </w:pPr>
      <w:r>
        <w:rPr>
          <w:rFonts w:hint="eastAsia" w:asciiTheme="minorEastAsia" w:hAnsiTheme="minorEastAsia" w:eastAsiaTheme="minorEastAsia" w:cstheme="minorEastAsia"/>
          <w:b/>
          <w:color w:val="auto"/>
          <w:szCs w:val="21"/>
          <w:lang w:val="en-US" w:eastAsia="zh-CN"/>
        </w:rPr>
        <w:t>4.</w:t>
      </w:r>
      <w:r>
        <w:rPr>
          <w:rFonts w:hint="eastAsia" w:asciiTheme="minorEastAsia" w:hAnsiTheme="minorEastAsia" w:eastAsiaTheme="minorEastAsia" w:cstheme="minorEastAsia"/>
          <w:b/>
          <w:color w:val="auto"/>
          <w:szCs w:val="21"/>
          <w:lang w:val="en-US" w:eastAsia="zh-CN"/>
        </w:rPr>
        <w:tab/>
      </w:r>
      <w:r>
        <w:rPr>
          <w:rFonts w:hint="eastAsia" w:asciiTheme="minorEastAsia" w:hAnsiTheme="minorEastAsia" w:eastAsiaTheme="minorEastAsia" w:cstheme="minorEastAsia"/>
          <w:b/>
          <w:color w:val="auto"/>
          <w:szCs w:val="21"/>
          <w:lang w:val="zh-CN" w:eastAsia="zh-CN"/>
        </w:rPr>
        <w:t>验收要求</w:t>
      </w:r>
      <w:bookmarkStart w:id="197" w:name="_Toc290911794"/>
      <w:bookmarkStart w:id="198" w:name="_Toc249263820"/>
    </w:p>
    <w:bookmarkEnd w:id="197"/>
    <w:bookmarkEnd w:id="198"/>
    <w:p>
      <w:pPr>
        <w:numPr>
          <w:ilvl w:val="0"/>
          <w:numId w:val="0"/>
        </w:numPr>
        <w:tabs>
          <w:tab w:val="left" w:pos="0"/>
        </w:tabs>
        <w:spacing w:line="360" w:lineRule="auto"/>
        <w:rPr>
          <w:rFonts w:hint="eastAsia" w:ascii="宋体" w:hAnsi="宋体" w:cstheme="minorEastAsia"/>
          <w:color w:val="auto"/>
        </w:rPr>
      </w:pPr>
      <w:r>
        <w:rPr>
          <w:rFonts w:hint="eastAsia" w:ascii="宋体" w:hAnsi="宋体" w:cstheme="minorEastAsia"/>
          <w:color w:val="auto"/>
          <w:lang w:val="en-US" w:eastAsia="zh-CN"/>
        </w:rPr>
        <w:t>1）</w:t>
      </w:r>
      <w:r>
        <w:rPr>
          <w:rFonts w:hint="eastAsia" w:ascii="宋体" w:hAnsi="宋体" w:cstheme="minorEastAsia"/>
          <w:color w:val="auto"/>
        </w:rPr>
        <w:t>验收方法按本项目的技术要求进行。货物质控要求符合采购人的技术参数标准或其他有效方法判断标准要求。</w:t>
      </w:r>
    </w:p>
    <w:p>
      <w:pPr>
        <w:numPr>
          <w:ilvl w:val="0"/>
          <w:numId w:val="0"/>
        </w:numPr>
        <w:tabs>
          <w:tab w:val="left" w:pos="0"/>
        </w:tabs>
        <w:spacing w:line="360" w:lineRule="auto"/>
        <w:rPr>
          <w:rFonts w:ascii="宋体" w:hAnsi="宋体" w:cstheme="minorEastAsia"/>
          <w:color w:val="auto"/>
        </w:rPr>
      </w:pPr>
      <w:r>
        <w:rPr>
          <w:rFonts w:hint="eastAsia" w:ascii="宋体" w:hAnsi="宋体" w:cstheme="minorEastAsia"/>
          <w:color w:val="auto"/>
          <w:lang w:val="en-US" w:eastAsia="zh-CN"/>
        </w:rPr>
        <w:t>2）</w:t>
      </w:r>
      <w:r>
        <w:rPr>
          <w:rFonts w:hint="eastAsia" w:ascii="宋体" w:hAnsi="宋体" w:cstheme="minorEastAsia"/>
          <w:color w:val="auto"/>
        </w:rPr>
        <w:t>对不合格的产品，采购人有权退回</w:t>
      </w:r>
      <w:r>
        <w:rPr>
          <w:rFonts w:hint="eastAsia" w:ascii="宋体" w:hAnsi="宋体" w:cstheme="minorEastAsia"/>
          <w:color w:val="auto"/>
          <w:lang w:eastAsia="zh-CN"/>
        </w:rPr>
        <w:t>中选人</w:t>
      </w:r>
      <w:r>
        <w:rPr>
          <w:rFonts w:hint="eastAsia" w:ascii="宋体" w:hAnsi="宋体" w:cstheme="minorEastAsia"/>
          <w:color w:val="auto"/>
        </w:rPr>
        <w:t>，所产生的有关费用由</w:t>
      </w:r>
      <w:r>
        <w:rPr>
          <w:rFonts w:hint="eastAsia" w:ascii="宋体" w:hAnsi="宋体" w:cstheme="minorEastAsia"/>
          <w:color w:val="auto"/>
          <w:lang w:eastAsia="zh-CN"/>
        </w:rPr>
        <w:t>中选人</w:t>
      </w:r>
      <w:r>
        <w:rPr>
          <w:rFonts w:hint="eastAsia" w:ascii="宋体" w:hAnsi="宋体" w:cstheme="minorEastAsia"/>
          <w:color w:val="auto"/>
        </w:rPr>
        <w:t>承担，采购人不予支付任何费用。</w:t>
      </w:r>
    </w:p>
    <w:p>
      <w:pPr>
        <w:numPr>
          <w:ilvl w:val="0"/>
          <w:numId w:val="0"/>
        </w:numPr>
        <w:tabs>
          <w:tab w:val="left" w:pos="0"/>
        </w:tabs>
        <w:spacing w:line="360" w:lineRule="auto"/>
        <w:rPr>
          <w:rFonts w:ascii="宋体" w:hAnsi="宋体" w:cstheme="minorEastAsia"/>
          <w:color w:val="auto"/>
        </w:rPr>
      </w:pPr>
      <w:r>
        <w:rPr>
          <w:rFonts w:hint="eastAsia" w:ascii="宋体" w:hAnsi="宋体" w:cstheme="minorEastAsia"/>
          <w:color w:val="auto"/>
          <w:lang w:val="en-US" w:eastAsia="zh-CN"/>
        </w:rPr>
        <w:t>3）</w:t>
      </w:r>
      <w:r>
        <w:rPr>
          <w:rFonts w:hint="eastAsia" w:ascii="宋体" w:hAnsi="宋体" w:cstheme="minorEastAsia"/>
          <w:color w:val="auto"/>
        </w:rPr>
        <w:t>对于不能在收到货物时当场进行验收的货物，采购人在使用过程中发现有质量问题的，</w:t>
      </w:r>
      <w:r>
        <w:rPr>
          <w:rFonts w:hint="eastAsia" w:ascii="宋体" w:hAnsi="宋体" w:cstheme="minorEastAsia"/>
          <w:color w:val="auto"/>
          <w:lang w:eastAsia="zh-CN"/>
        </w:rPr>
        <w:t>中选人</w:t>
      </w:r>
      <w:r>
        <w:rPr>
          <w:rFonts w:hint="eastAsia" w:ascii="宋体" w:hAnsi="宋体" w:cstheme="minorEastAsia"/>
          <w:color w:val="auto"/>
        </w:rPr>
        <w:t>需在5个工作日内无条件换货或退货。</w:t>
      </w:r>
    </w:p>
    <w:p>
      <w:pPr>
        <w:numPr>
          <w:ilvl w:val="0"/>
          <w:numId w:val="0"/>
        </w:numPr>
        <w:spacing w:line="360" w:lineRule="auto"/>
        <w:ind w:leftChars="0"/>
        <w:rPr>
          <w:rFonts w:hint="eastAsia" w:asciiTheme="minorEastAsia" w:hAnsiTheme="minorEastAsia" w:eastAsiaTheme="minorEastAsia" w:cstheme="minorEastAsia"/>
          <w:b/>
          <w:bCs w:val="0"/>
          <w:color w:val="auto"/>
          <w:szCs w:val="21"/>
          <w:lang w:val="en-US" w:eastAsia="zh-CN"/>
        </w:rPr>
      </w:pPr>
      <w:r>
        <w:rPr>
          <w:rFonts w:hint="eastAsia" w:asciiTheme="minorEastAsia" w:hAnsiTheme="minorEastAsia" w:eastAsiaTheme="minorEastAsia" w:cstheme="minorEastAsia"/>
          <w:b/>
          <w:bCs w:val="0"/>
          <w:color w:val="auto"/>
          <w:szCs w:val="21"/>
          <w:lang w:val="en-US" w:eastAsia="zh-CN"/>
        </w:rPr>
        <w:t>5.</w:t>
      </w:r>
      <w:r>
        <w:rPr>
          <w:rFonts w:hint="eastAsia" w:asciiTheme="minorEastAsia" w:hAnsiTheme="minorEastAsia" w:eastAsiaTheme="minorEastAsia" w:cstheme="minorEastAsia"/>
          <w:b/>
          <w:bCs w:val="0"/>
          <w:color w:val="auto"/>
          <w:szCs w:val="21"/>
          <w:lang w:val="en-US" w:eastAsia="zh-CN"/>
        </w:rPr>
        <w:tab/>
      </w:r>
      <w:r>
        <w:rPr>
          <w:rFonts w:hint="eastAsia" w:asciiTheme="minorEastAsia" w:hAnsiTheme="minorEastAsia" w:eastAsiaTheme="minorEastAsia" w:cstheme="minorEastAsia"/>
          <w:b/>
          <w:bCs w:val="0"/>
          <w:color w:val="auto"/>
          <w:szCs w:val="21"/>
          <w:lang w:val="en-US" w:eastAsia="zh-CN"/>
        </w:rPr>
        <w:t>质保期、售后服务：</w:t>
      </w:r>
    </w:p>
    <w:p>
      <w:pPr>
        <w:pStyle w:val="20"/>
        <w:adjustRightInd w:val="0"/>
        <w:snapToGrid w:val="0"/>
        <w:spacing w:line="360" w:lineRule="auto"/>
        <w:ind w:firstLine="0" w:firstLineChars="0"/>
        <w:rPr>
          <w:rFonts w:hint="eastAsia" w:ascii="宋体" w:hAnsi="宋体" w:cstheme="minorEastAsia"/>
          <w:color w:val="auto"/>
        </w:rPr>
      </w:pPr>
      <w:r>
        <w:rPr>
          <w:rFonts w:hint="eastAsia" w:ascii="宋体" w:hAnsi="宋体" w:cstheme="minorEastAsia"/>
          <w:color w:val="auto"/>
          <w:lang w:val="en-US" w:eastAsia="zh-CN"/>
        </w:rPr>
        <w:t>1）中选人</w:t>
      </w:r>
      <w:r>
        <w:rPr>
          <w:rFonts w:hint="eastAsia" w:ascii="宋体" w:hAnsi="宋体" w:cstheme="minorEastAsia"/>
          <w:color w:val="auto"/>
        </w:rPr>
        <w:t>应将其提供的合同货物运抵现场，并经验收合格方可交付采购人。</w:t>
      </w:r>
    </w:p>
    <w:p>
      <w:pPr>
        <w:numPr>
          <w:ilvl w:val="0"/>
          <w:numId w:val="0"/>
        </w:numPr>
        <w:tabs>
          <w:tab w:val="left" w:pos="426"/>
          <w:tab w:val="left" w:pos="960"/>
        </w:tabs>
        <w:snapToGrid w:val="0"/>
        <w:spacing w:line="360" w:lineRule="auto"/>
        <w:ind w:leftChars="0"/>
        <w:jc w:val="both"/>
        <w:rPr>
          <w:rFonts w:hint="eastAsia" w:ascii="宋体" w:hAnsi="宋体" w:cs="宋体"/>
          <w:sz w:val="21"/>
          <w:szCs w:val="21"/>
        </w:rPr>
      </w:pPr>
      <w:r>
        <w:rPr>
          <w:rFonts w:hint="eastAsia" w:ascii="宋体" w:hAnsi="宋体" w:cstheme="minorEastAsia"/>
          <w:color w:val="auto"/>
          <w:lang w:val="en-US" w:eastAsia="zh-CN"/>
        </w:rPr>
        <w:t>2）</w:t>
      </w:r>
      <w:r>
        <w:rPr>
          <w:rFonts w:hint="eastAsia" w:ascii="宋体" w:hAnsi="宋体" w:cs="宋体"/>
          <w:sz w:val="21"/>
          <w:szCs w:val="21"/>
          <w:highlight w:val="none"/>
          <w:lang w:eastAsia="zh-CN"/>
        </w:rPr>
        <w:t>中选人</w:t>
      </w:r>
      <w:r>
        <w:rPr>
          <w:rFonts w:hint="eastAsia" w:ascii="宋体" w:hAnsi="宋体" w:cs="宋体"/>
          <w:sz w:val="21"/>
          <w:szCs w:val="21"/>
          <w:highlight w:val="none"/>
        </w:rPr>
        <w:t>为</w:t>
      </w:r>
      <w:r>
        <w:rPr>
          <w:rFonts w:hint="eastAsia" w:ascii="宋体" w:hAnsi="宋体" w:cs="宋体"/>
          <w:sz w:val="21"/>
          <w:szCs w:val="21"/>
          <w:highlight w:val="none"/>
          <w:lang w:eastAsia="zh-CN"/>
        </w:rPr>
        <w:t>采购人</w:t>
      </w:r>
      <w:r>
        <w:rPr>
          <w:rFonts w:hint="eastAsia" w:ascii="宋体" w:hAnsi="宋体" w:cs="宋体"/>
          <w:sz w:val="21"/>
          <w:szCs w:val="21"/>
          <w:highlight w:val="none"/>
        </w:rPr>
        <w:t>提供</w:t>
      </w:r>
      <w:r>
        <w:rPr>
          <w:rFonts w:hint="eastAsia" w:ascii="宋体" w:hAnsi="宋体" w:cs="宋体"/>
          <w:sz w:val="21"/>
          <w:szCs w:val="21"/>
          <w:highlight w:val="none"/>
          <w:lang w:eastAsia="zh-CN"/>
        </w:rPr>
        <w:t>自</w:t>
      </w:r>
      <w:r>
        <w:rPr>
          <w:rFonts w:hint="eastAsia" w:ascii="宋体" w:hAnsi="宋体" w:cs="宋体"/>
          <w:sz w:val="21"/>
          <w:szCs w:val="21"/>
          <w:highlight w:val="none"/>
        </w:rPr>
        <w:t>验收后</w:t>
      </w:r>
      <w:r>
        <w:rPr>
          <w:rFonts w:hint="eastAsia" w:ascii="宋体" w:hAnsi="宋体" w:cs="宋体"/>
          <w:sz w:val="21"/>
          <w:szCs w:val="21"/>
          <w:highlight w:val="none"/>
          <w:lang w:eastAsia="zh-CN"/>
        </w:rPr>
        <w:t>不少于</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3</w:t>
      </w:r>
      <w:r>
        <w:rPr>
          <w:rFonts w:hint="eastAsia" w:ascii="宋体" w:hAnsi="宋体" w:cs="宋体"/>
          <w:sz w:val="21"/>
          <w:szCs w:val="21"/>
          <w:highlight w:val="none"/>
        </w:rPr>
        <w:t>年的免费维护服务，</w:t>
      </w:r>
      <w:r>
        <w:rPr>
          <w:rFonts w:hint="eastAsia" w:ascii="宋体" w:hAnsi="宋体" w:cs="宋体"/>
          <w:sz w:val="21"/>
          <w:szCs w:val="21"/>
          <w:highlight w:val="none"/>
          <w:lang w:val="en-US" w:eastAsia="zh-CN"/>
        </w:rPr>
        <w:t>由</w:t>
      </w:r>
      <w:r>
        <w:rPr>
          <w:rFonts w:hint="eastAsia" w:asciiTheme="minorEastAsia" w:hAnsiTheme="minorEastAsia" w:eastAsiaTheme="minorEastAsia" w:cstheme="minorEastAsia"/>
          <w:color w:val="auto"/>
          <w:kern w:val="0"/>
          <w:sz w:val="21"/>
          <w:szCs w:val="21"/>
        </w:rPr>
        <w:t>原厂工程师服务</w:t>
      </w:r>
      <w:r>
        <w:rPr>
          <w:rFonts w:hint="eastAsia" w:asciiTheme="minorEastAsia" w:hAnsiTheme="minorEastAsia" w:eastAsiaTheme="minorEastAsia" w:cstheme="minorEastAsia"/>
          <w:color w:val="auto"/>
          <w:kern w:val="0"/>
          <w:sz w:val="21"/>
          <w:szCs w:val="21"/>
          <w:lang w:eastAsia="zh-CN"/>
        </w:rPr>
        <w:t>，</w:t>
      </w:r>
      <w:r>
        <w:rPr>
          <w:rFonts w:hint="eastAsia" w:ascii="宋体" w:hAnsi="宋体" w:cs="宋体"/>
          <w:sz w:val="21"/>
          <w:szCs w:val="21"/>
        </w:rPr>
        <w:t>为</w:t>
      </w:r>
      <w:r>
        <w:rPr>
          <w:rFonts w:hint="eastAsia" w:ascii="宋体" w:hAnsi="宋体" w:cs="宋体"/>
          <w:sz w:val="21"/>
          <w:szCs w:val="21"/>
          <w:lang w:eastAsia="zh-CN"/>
        </w:rPr>
        <w:t>采购人</w:t>
      </w:r>
      <w:r>
        <w:rPr>
          <w:rFonts w:hint="eastAsia" w:ascii="宋体" w:hAnsi="宋体" w:cs="宋体"/>
          <w:sz w:val="21"/>
          <w:szCs w:val="21"/>
        </w:rPr>
        <w:t>提供</w:t>
      </w:r>
      <w:r>
        <w:rPr>
          <w:rFonts w:hint="eastAsia" w:asciiTheme="minorEastAsia" w:hAnsiTheme="minorEastAsia" w:eastAsiaTheme="minorEastAsia" w:cstheme="minorEastAsia"/>
          <w:color w:val="auto"/>
          <w:sz w:val="21"/>
          <w:szCs w:val="21"/>
        </w:rPr>
        <w:t>IT专业支持与关键任务</w:t>
      </w:r>
      <w:r>
        <w:rPr>
          <w:rFonts w:hint="eastAsia" w:asciiTheme="minorEastAsia" w:hAnsiTheme="minorEastAsia" w:eastAsiaTheme="minorEastAsia" w:cstheme="minorEastAsia"/>
          <w:color w:val="auto"/>
          <w:sz w:val="21"/>
          <w:szCs w:val="21"/>
          <w:lang w:eastAsia="zh-CN"/>
        </w:rPr>
        <w:t>。</w:t>
      </w:r>
    </w:p>
    <w:p>
      <w:pPr>
        <w:pStyle w:val="20"/>
        <w:adjustRightInd w:val="0"/>
        <w:snapToGrid w:val="0"/>
        <w:spacing w:line="360" w:lineRule="auto"/>
        <w:ind w:firstLine="0" w:firstLineChars="0"/>
        <w:rPr>
          <w:rFonts w:ascii="宋体" w:hAnsi="宋体" w:cstheme="minorEastAsia"/>
          <w:color w:val="auto"/>
        </w:rPr>
      </w:pPr>
      <w:r>
        <w:rPr>
          <w:rFonts w:hint="eastAsia" w:ascii="宋体" w:hAnsi="宋体" w:cstheme="minorEastAsia"/>
          <w:color w:val="auto"/>
          <w:lang w:val="en-US" w:eastAsia="zh-CN"/>
        </w:rPr>
        <w:t>3）</w:t>
      </w:r>
      <w:r>
        <w:rPr>
          <w:rFonts w:hint="eastAsia" w:ascii="宋体" w:hAnsi="宋体" w:cstheme="minorEastAsia"/>
          <w:color w:val="auto"/>
        </w:rPr>
        <w:t>质保期内正常使用下，因非人为因素损坏的，</w:t>
      </w:r>
      <w:r>
        <w:rPr>
          <w:rFonts w:hint="eastAsia" w:ascii="宋体" w:hAnsi="宋体" w:cstheme="minorEastAsia"/>
          <w:color w:val="auto"/>
          <w:lang w:val="en-US" w:eastAsia="zh-CN"/>
        </w:rPr>
        <w:t>中选人</w:t>
      </w:r>
      <w:r>
        <w:rPr>
          <w:rFonts w:hint="eastAsia" w:ascii="宋体" w:hAnsi="宋体" w:cstheme="minorEastAsia"/>
          <w:color w:val="auto"/>
        </w:rPr>
        <w:t>在收到有关通知后，一周内予以更换，质保期内全部服务费和更换货物的费用由</w:t>
      </w:r>
      <w:r>
        <w:rPr>
          <w:rFonts w:hint="eastAsia" w:ascii="宋体" w:hAnsi="宋体" w:cstheme="minorEastAsia"/>
          <w:color w:val="auto"/>
          <w:lang w:val="en-US" w:eastAsia="zh-CN"/>
        </w:rPr>
        <w:t>中选人</w:t>
      </w:r>
      <w:r>
        <w:rPr>
          <w:rFonts w:hint="eastAsia" w:ascii="宋体" w:hAnsi="宋体" w:cstheme="minorEastAsia"/>
          <w:color w:val="auto"/>
        </w:rPr>
        <w:t>承担。</w:t>
      </w:r>
    </w:p>
    <w:p>
      <w:pPr>
        <w:pStyle w:val="20"/>
        <w:adjustRightInd w:val="0"/>
        <w:snapToGrid w:val="0"/>
        <w:spacing w:line="360" w:lineRule="auto"/>
        <w:ind w:firstLine="0" w:firstLineChars="0"/>
        <w:rPr>
          <w:rFonts w:ascii="宋体" w:hAnsi="宋体" w:cstheme="minorEastAsia"/>
          <w:color w:val="auto"/>
        </w:rPr>
      </w:pPr>
      <w:r>
        <w:rPr>
          <w:rFonts w:hint="eastAsia" w:ascii="宋体" w:hAnsi="宋体" w:cstheme="minorEastAsia"/>
          <w:color w:val="auto"/>
          <w:lang w:val="en-US" w:eastAsia="zh-CN"/>
        </w:rPr>
        <w:t>4）</w:t>
      </w:r>
      <w:r>
        <w:rPr>
          <w:rFonts w:hint="eastAsia" w:ascii="宋体" w:hAnsi="宋体" w:cstheme="minorEastAsia"/>
          <w:color w:val="auto"/>
        </w:rPr>
        <w:t>质保期内</w:t>
      </w:r>
      <w:r>
        <w:rPr>
          <w:rFonts w:hint="eastAsia" w:ascii="宋体" w:hAnsi="宋体" w:cstheme="minorEastAsia"/>
          <w:color w:val="auto"/>
          <w:lang w:val="en-US" w:eastAsia="zh-CN"/>
        </w:rPr>
        <w:t>中选人</w:t>
      </w:r>
      <w:r>
        <w:rPr>
          <w:rFonts w:hint="eastAsia" w:ascii="宋体" w:hAnsi="宋体" w:cstheme="minorEastAsia"/>
          <w:color w:val="auto"/>
        </w:rPr>
        <w:t>须进行质量“三包”。质保期后，</w:t>
      </w:r>
      <w:r>
        <w:rPr>
          <w:rFonts w:hint="eastAsia" w:ascii="宋体" w:hAnsi="宋体" w:cstheme="minorEastAsia"/>
          <w:color w:val="auto"/>
          <w:lang w:val="en-US" w:eastAsia="zh-CN"/>
        </w:rPr>
        <w:t>中选人</w:t>
      </w:r>
      <w:r>
        <w:rPr>
          <w:rFonts w:hint="eastAsia" w:ascii="宋体" w:hAnsi="宋体" w:cstheme="minorEastAsia"/>
          <w:color w:val="auto"/>
        </w:rPr>
        <w:t>应继续为合同货物的使用提供更换、维修</w:t>
      </w:r>
      <w:r>
        <w:rPr>
          <w:rFonts w:hint="eastAsia" w:ascii="宋体" w:hAnsi="宋体" w:cstheme="minorEastAsia"/>
          <w:color w:val="auto"/>
          <w:lang w:val="en-US" w:eastAsia="zh-CN"/>
        </w:rPr>
        <w:t>等</w:t>
      </w:r>
      <w:r>
        <w:rPr>
          <w:rFonts w:hint="eastAsia" w:ascii="宋体" w:hAnsi="宋体" w:cstheme="minorEastAsia"/>
          <w:color w:val="auto"/>
        </w:rPr>
        <w:t>终身技术支持。</w:t>
      </w:r>
    </w:p>
    <w:p>
      <w:pPr>
        <w:pStyle w:val="20"/>
        <w:adjustRightInd w:val="0"/>
        <w:snapToGrid w:val="0"/>
        <w:spacing w:line="360" w:lineRule="auto"/>
        <w:ind w:firstLine="0" w:firstLineChars="0"/>
        <w:rPr>
          <w:rFonts w:ascii="宋体" w:hAnsi="宋体" w:cstheme="minorEastAsia"/>
          <w:color w:val="auto"/>
        </w:rPr>
      </w:pPr>
      <w:r>
        <w:rPr>
          <w:rFonts w:hint="eastAsia" w:ascii="宋体" w:hAnsi="宋体" w:cstheme="minorEastAsia"/>
          <w:color w:val="auto"/>
          <w:lang w:val="en-US" w:eastAsia="zh-CN"/>
        </w:rPr>
        <w:t>5）中选人</w:t>
      </w:r>
      <w:r>
        <w:rPr>
          <w:rFonts w:hint="eastAsia" w:ascii="宋体" w:hAnsi="宋体" w:cstheme="minorEastAsia"/>
          <w:color w:val="auto"/>
        </w:rPr>
        <w:t>必须设有售后服务电话热线，保证在接到故障电话后及时响应用户，在收到服务要求时2小时内有专人答复，1 天内有专职工作人员到达现场解决。</w:t>
      </w:r>
    </w:p>
    <w:p>
      <w:pPr>
        <w:pStyle w:val="20"/>
        <w:adjustRightInd w:val="0"/>
        <w:snapToGrid w:val="0"/>
        <w:spacing w:line="360" w:lineRule="auto"/>
        <w:ind w:firstLine="0" w:firstLineChars="0"/>
        <w:rPr>
          <w:rFonts w:hint="eastAsia" w:ascii="宋体" w:hAnsi="宋体" w:cstheme="minorEastAsia"/>
          <w:color w:val="auto"/>
        </w:rPr>
      </w:pPr>
      <w:r>
        <w:rPr>
          <w:rFonts w:hint="eastAsia" w:ascii="宋体" w:hAnsi="宋体" w:cstheme="minorEastAsia"/>
          <w:color w:val="auto"/>
          <w:lang w:val="en-US" w:eastAsia="zh-CN"/>
        </w:rPr>
        <w:t>6）</w:t>
      </w:r>
      <w:r>
        <w:rPr>
          <w:rFonts w:hint="eastAsia" w:ascii="宋体" w:hAnsi="宋体" w:cstheme="minorEastAsia"/>
          <w:color w:val="auto"/>
        </w:rPr>
        <w:t>如货物经采购人确定不能达到合同约定的质量标准或厂家的质量标准或检验标准的要求,采购人有权退货,并依法追究</w:t>
      </w:r>
      <w:r>
        <w:rPr>
          <w:rFonts w:hint="eastAsia" w:ascii="宋体" w:hAnsi="宋体" w:cstheme="minorEastAsia"/>
          <w:color w:val="auto"/>
          <w:lang w:val="en-US" w:eastAsia="zh-CN"/>
        </w:rPr>
        <w:t>中选人</w:t>
      </w:r>
      <w:r>
        <w:rPr>
          <w:rFonts w:hint="eastAsia" w:ascii="宋体" w:hAnsi="宋体" w:cstheme="minorEastAsia"/>
          <w:color w:val="auto"/>
        </w:rPr>
        <w:t>的违约责任。</w:t>
      </w:r>
    </w:p>
    <w:p>
      <w:pPr>
        <w:adjustRightInd w:val="0"/>
        <w:snapToGrid w:val="0"/>
        <w:spacing w:line="360" w:lineRule="auto"/>
        <w:rPr>
          <w:rFonts w:ascii="宋体" w:hAnsi="宋体" w:cstheme="minorEastAsia"/>
          <w:color w:val="auto"/>
        </w:rPr>
      </w:pPr>
      <w:r>
        <w:rPr>
          <w:rFonts w:hint="eastAsia" w:asciiTheme="minorEastAsia" w:hAnsiTheme="minorEastAsia" w:eastAsiaTheme="minorEastAsia" w:cstheme="minorEastAsia"/>
          <w:b w:val="0"/>
          <w:bCs w:val="0"/>
          <w:color w:val="auto"/>
          <w:sz w:val="21"/>
          <w:szCs w:val="21"/>
          <w:highlight w:val="none"/>
          <w:lang w:val="en-US" w:eastAsia="zh-CN"/>
        </w:rPr>
        <w:t>7）竞选人</w:t>
      </w:r>
      <w:r>
        <w:rPr>
          <w:rFonts w:hint="eastAsia" w:ascii="宋体" w:hAnsi="宋体" w:cstheme="minorEastAsia"/>
          <w:color w:val="auto"/>
        </w:rPr>
        <w:t>在广州市设有长期固定的服务机构，提供可靠的货物售后服务保障，提供正常的备品备件等项目的服务。</w:t>
      </w:r>
    </w:p>
    <w:p>
      <w:pPr>
        <w:numPr>
          <w:ilvl w:val="-1"/>
          <w:numId w:val="0"/>
        </w:numPr>
        <w:spacing w:line="360" w:lineRule="auto"/>
        <w:ind w:leftChars="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lang w:val="en-US" w:eastAsia="zh-CN"/>
        </w:rPr>
        <w:tab/>
      </w:r>
      <w:r>
        <w:rPr>
          <w:rFonts w:hint="eastAsia" w:asciiTheme="minorEastAsia" w:hAnsiTheme="minorEastAsia" w:eastAsiaTheme="minorEastAsia" w:cstheme="minorEastAsia"/>
          <w:b/>
          <w:bCs/>
          <w:color w:val="auto"/>
          <w:sz w:val="21"/>
          <w:szCs w:val="21"/>
          <w:highlight w:val="none"/>
          <w:lang w:eastAsia="zh-CN"/>
        </w:rPr>
        <w:t>付款方式</w:t>
      </w:r>
    </w:p>
    <w:p>
      <w:pPr>
        <w:spacing w:line="360" w:lineRule="auto"/>
        <w:rPr>
          <w:rFonts w:ascii="宋体" w:hAnsi="宋体"/>
          <w:color w:val="auto"/>
          <w:szCs w:val="21"/>
        </w:rPr>
      </w:pPr>
      <w:r>
        <w:rPr>
          <w:rFonts w:hint="eastAsia" w:ascii="宋体" w:hAnsi="宋体"/>
          <w:color w:val="auto"/>
          <w:szCs w:val="21"/>
        </w:rPr>
        <w:t>本合同的每笔款项均以人民币方式支付，支付方式如下：</w:t>
      </w:r>
    </w:p>
    <w:p>
      <w:pPr>
        <w:spacing w:line="360" w:lineRule="auto"/>
        <w:rPr>
          <w:rFonts w:ascii="宋体" w:hAnsi="宋体"/>
          <w:color w:val="auto"/>
          <w:szCs w:val="21"/>
        </w:rPr>
      </w:pPr>
      <w:r>
        <w:rPr>
          <w:rFonts w:hint="eastAsia" w:ascii="宋体" w:hAnsi="宋体"/>
          <w:color w:val="auto"/>
          <w:szCs w:val="21"/>
        </w:rPr>
        <w:t>1</w:t>
      </w:r>
      <w:r>
        <w:rPr>
          <w:rFonts w:hint="eastAsia" w:ascii="宋体" w:hAnsi="宋体"/>
          <w:color w:val="auto"/>
          <w:szCs w:val="21"/>
          <w:lang w:eastAsia="zh-CN"/>
        </w:rPr>
        <w:t>）</w:t>
      </w:r>
      <w:r>
        <w:rPr>
          <w:rFonts w:hint="eastAsia" w:ascii="宋体" w:hAnsi="宋体"/>
          <w:color w:val="auto"/>
          <w:szCs w:val="21"/>
        </w:rPr>
        <w:t>合同签订生效之日起10个工作日内，</w:t>
      </w:r>
      <w:r>
        <w:rPr>
          <w:rFonts w:hint="eastAsia" w:ascii="宋体" w:hAnsi="宋体"/>
          <w:color w:val="auto"/>
          <w:szCs w:val="21"/>
          <w:lang w:val="en-US" w:eastAsia="zh-CN"/>
        </w:rPr>
        <w:t>采购</w:t>
      </w:r>
      <w:r>
        <w:rPr>
          <w:rFonts w:hint="eastAsia" w:ascii="宋体" w:hAnsi="宋体"/>
          <w:color w:val="auto"/>
          <w:szCs w:val="21"/>
        </w:rPr>
        <w:t>人凭中</w:t>
      </w:r>
      <w:r>
        <w:rPr>
          <w:rFonts w:hint="eastAsia" w:ascii="宋体" w:hAnsi="宋体"/>
          <w:color w:val="auto"/>
          <w:szCs w:val="21"/>
          <w:lang w:val="en-US" w:eastAsia="zh-CN"/>
        </w:rPr>
        <w:t>选</w:t>
      </w:r>
      <w:r>
        <w:rPr>
          <w:rFonts w:hint="eastAsia" w:ascii="宋体" w:hAnsi="宋体"/>
          <w:color w:val="auto"/>
          <w:szCs w:val="21"/>
        </w:rPr>
        <w:t>人提供的等额增值税专用正式发票向中</w:t>
      </w:r>
      <w:r>
        <w:rPr>
          <w:rFonts w:hint="eastAsia" w:ascii="宋体" w:hAnsi="宋体"/>
          <w:color w:val="auto"/>
          <w:szCs w:val="21"/>
          <w:lang w:val="en-US" w:eastAsia="zh-CN"/>
        </w:rPr>
        <w:t>选</w:t>
      </w:r>
      <w:r>
        <w:rPr>
          <w:rFonts w:hint="eastAsia" w:ascii="宋体" w:hAnsi="宋体"/>
          <w:color w:val="auto"/>
          <w:szCs w:val="21"/>
        </w:rPr>
        <w:t>人预付合同总价的</w:t>
      </w:r>
      <w:r>
        <w:rPr>
          <w:rFonts w:hint="eastAsia" w:ascii="宋体" w:hAnsi="宋体"/>
          <w:color w:val="auto"/>
          <w:szCs w:val="21"/>
          <w:lang w:val="en-US" w:eastAsia="zh-CN"/>
        </w:rPr>
        <w:t>5</w:t>
      </w:r>
      <w:r>
        <w:rPr>
          <w:rFonts w:hint="eastAsia" w:ascii="宋体" w:hAnsi="宋体"/>
          <w:color w:val="auto"/>
          <w:szCs w:val="21"/>
        </w:rPr>
        <w:t>0%，为</w:t>
      </w:r>
      <w:r>
        <w:rPr>
          <w:rFonts w:hint="eastAsia" w:ascii="宋体" w:hAnsi="宋体"/>
          <w:color w:val="auto"/>
          <w:szCs w:val="21"/>
          <w:lang w:val="en-US" w:eastAsia="zh-CN"/>
        </w:rPr>
        <w:t>第一期</w:t>
      </w:r>
      <w:r>
        <w:rPr>
          <w:rFonts w:hint="eastAsia" w:ascii="宋体" w:hAnsi="宋体"/>
          <w:color w:val="auto"/>
          <w:szCs w:val="21"/>
        </w:rPr>
        <w:t>款；</w:t>
      </w:r>
    </w:p>
    <w:p>
      <w:pPr>
        <w:spacing w:line="360" w:lineRule="auto"/>
        <w:rPr>
          <w:rFonts w:hint="eastAsia" w:ascii="宋体" w:hAnsi="宋体"/>
          <w:color w:val="auto"/>
          <w:szCs w:val="21"/>
          <w:lang w:eastAsia="zh-CN"/>
        </w:rPr>
      </w:pPr>
      <w:r>
        <w:rPr>
          <w:rFonts w:hint="eastAsia" w:ascii="宋体" w:hAnsi="宋体"/>
          <w:color w:val="auto"/>
          <w:szCs w:val="21"/>
        </w:rPr>
        <w:t>2</w:t>
      </w:r>
      <w:r>
        <w:rPr>
          <w:rFonts w:hint="eastAsia" w:ascii="宋体" w:hAnsi="宋体"/>
          <w:color w:val="auto"/>
          <w:szCs w:val="21"/>
          <w:lang w:eastAsia="zh-CN"/>
        </w:rPr>
        <w:t>）</w:t>
      </w:r>
      <w:r>
        <w:rPr>
          <w:rFonts w:hint="eastAsia" w:ascii="宋体" w:hAnsi="宋体"/>
          <w:color w:val="auto"/>
          <w:szCs w:val="21"/>
        </w:rPr>
        <w:t>全部设备安装、调试完毕，并通过</w:t>
      </w:r>
      <w:r>
        <w:rPr>
          <w:rFonts w:hint="eastAsia" w:ascii="宋体" w:hAnsi="宋体"/>
          <w:color w:val="auto"/>
          <w:szCs w:val="21"/>
          <w:lang w:val="en-US" w:eastAsia="zh-CN"/>
        </w:rPr>
        <w:t>采购</w:t>
      </w:r>
      <w:r>
        <w:rPr>
          <w:rFonts w:hint="eastAsia" w:ascii="宋体" w:hAnsi="宋体"/>
          <w:color w:val="auto"/>
          <w:szCs w:val="21"/>
        </w:rPr>
        <w:t>人组织的验收合格，提交全部验收报告材料后10个工作日内，</w:t>
      </w:r>
      <w:r>
        <w:rPr>
          <w:rFonts w:hint="eastAsia" w:ascii="宋体" w:hAnsi="宋体"/>
          <w:color w:val="auto"/>
          <w:szCs w:val="21"/>
          <w:lang w:val="en-US" w:eastAsia="zh-CN"/>
        </w:rPr>
        <w:t>采购</w:t>
      </w:r>
      <w:r>
        <w:rPr>
          <w:rFonts w:hint="eastAsia" w:ascii="宋体" w:hAnsi="宋体"/>
          <w:color w:val="auto"/>
          <w:szCs w:val="21"/>
        </w:rPr>
        <w:t>人凭</w:t>
      </w:r>
      <w:r>
        <w:rPr>
          <w:rFonts w:hint="eastAsia" w:ascii="宋体" w:hAnsi="宋体"/>
          <w:color w:val="auto"/>
          <w:szCs w:val="21"/>
          <w:lang w:val="en-US" w:eastAsia="zh-CN"/>
        </w:rPr>
        <w:t>中选人提供的</w:t>
      </w:r>
      <w:r>
        <w:rPr>
          <w:rFonts w:hint="eastAsia" w:ascii="宋体" w:hAnsi="宋体"/>
          <w:color w:val="auto"/>
          <w:szCs w:val="21"/>
        </w:rPr>
        <w:t>验收</w:t>
      </w:r>
      <w:r>
        <w:rPr>
          <w:rFonts w:hint="eastAsia" w:ascii="宋体" w:hAnsi="宋体"/>
          <w:color w:val="auto"/>
          <w:szCs w:val="21"/>
          <w:lang w:val="en-US" w:eastAsia="zh-CN"/>
        </w:rPr>
        <w:t>报告、送货单等证明交易的依据</w:t>
      </w:r>
      <w:r>
        <w:rPr>
          <w:rFonts w:hint="eastAsia" w:ascii="宋体" w:hAnsi="宋体"/>
          <w:color w:val="auto"/>
          <w:szCs w:val="21"/>
          <w:lang w:eastAsia="zh-CN"/>
        </w:rPr>
        <w:t>、</w:t>
      </w:r>
      <w:r>
        <w:rPr>
          <w:rFonts w:hint="eastAsia" w:ascii="宋体" w:hAnsi="宋体"/>
          <w:color w:val="auto"/>
          <w:szCs w:val="21"/>
        </w:rPr>
        <w:t>等额增值税专用正式发票向中</w:t>
      </w:r>
      <w:r>
        <w:rPr>
          <w:rFonts w:hint="eastAsia" w:ascii="宋体" w:hAnsi="宋体"/>
          <w:color w:val="auto"/>
          <w:szCs w:val="21"/>
          <w:lang w:val="en-US" w:eastAsia="zh-CN"/>
        </w:rPr>
        <w:t>选</w:t>
      </w:r>
      <w:r>
        <w:rPr>
          <w:rFonts w:hint="eastAsia" w:ascii="宋体" w:hAnsi="宋体"/>
          <w:color w:val="auto"/>
          <w:szCs w:val="21"/>
        </w:rPr>
        <w:t>人支付合同总价的</w:t>
      </w:r>
      <w:r>
        <w:rPr>
          <w:rFonts w:hint="eastAsia" w:ascii="宋体" w:hAnsi="宋体"/>
          <w:color w:val="auto"/>
          <w:szCs w:val="21"/>
          <w:lang w:val="en-US" w:eastAsia="zh-CN"/>
        </w:rPr>
        <w:t>50</w:t>
      </w:r>
      <w:r>
        <w:rPr>
          <w:rFonts w:hint="eastAsia" w:ascii="宋体" w:hAnsi="宋体"/>
          <w:color w:val="auto"/>
          <w:szCs w:val="21"/>
        </w:rPr>
        <w:t>%，为第二期付款</w:t>
      </w:r>
      <w:r>
        <w:rPr>
          <w:rFonts w:hint="eastAsia" w:ascii="宋体" w:hAnsi="宋体"/>
          <w:color w:val="auto"/>
          <w:szCs w:val="21"/>
          <w:lang w:eastAsia="zh-CN"/>
        </w:rPr>
        <w:t>。</w:t>
      </w:r>
    </w:p>
    <w:p>
      <w:pPr>
        <w:pStyle w:val="2"/>
        <w:rPr>
          <w:rFonts w:hint="eastAsia"/>
          <w:b/>
          <w:bCs w:val="0"/>
          <w:color w:val="auto"/>
          <w:lang w:val="en-US"/>
        </w:rPr>
      </w:pPr>
    </w:p>
    <w:p>
      <w:pPr>
        <w:widowControl/>
        <w:numPr>
          <w:ilvl w:val="-1"/>
          <w:numId w:val="0"/>
        </w:numPr>
        <w:spacing w:line="360" w:lineRule="auto"/>
        <w:ind w:left="0" w:firstLine="0"/>
        <w:rPr>
          <w:rFonts w:hint="eastAsia" w:hAnsi="宋体"/>
          <w:b/>
          <w:color w:val="auto"/>
        </w:rPr>
      </w:pPr>
      <w:r>
        <w:rPr>
          <w:rFonts w:hint="eastAsia" w:hAnsi="宋体"/>
          <w:b/>
          <w:color w:val="auto"/>
        </w:rPr>
        <w:br w:type="page"/>
      </w:r>
    </w:p>
    <w:p>
      <w:pPr>
        <w:numPr>
          <w:ilvl w:val="0"/>
          <w:numId w:val="2"/>
        </w:numPr>
        <w:adjustRightInd w:val="0"/>
        <w:snapToGrid w:val="0"/>
        <w:spacing w:beforeLines="50" w:afterLines="50" w:line="360" w:lineRule="auto"/>
        <w:ind w:left="0" w:leftChars="0" w:firstLine="0" w:firstLineChars="0"/>
        <w:jc w:val="center"/>
        <w:outlineLvl w:val="0"/>
        <w:rPr>
          <w:rFonts w:hint="eastAsia" w:asciiTheme="minorEastAsia" w:hAnsiTheme="minorEastAsia" w:eastAsiaTheme="minorEastAsia" w:cstheme="minorEastAsia"/>
          <w:b/>
          <w:bCs/>
          <w:color w:val="auto"/>
          <w:sz w:val="28"/>
          <w:szCs w:val="28"/>
          <w:lang w:eastAsia="zh-CN"/>
        </w:rPr>
      </w:pPr>
      <w:bookmarkStart w:id="199" w:name="_Toc1721"/>
      <w:bookmarkStart w:id="200" w:name="_Toc533236381"/>
      <w:bookmarkStart w:id="201" w:name="_Toc26778"/>
      <w:bookmarkStart w:id="202" w:name="_Toc2341741"/>
      <w:bookmarkStart w:id="203" w:name="_Toc2341334"/>
      <w:bookmarkStart w:id="204" w:name="_Toc18401"/>
      <w:bookmarkStart w:id="205" w:name="_Toc2341910"/>
      <w:bookmarkStart w:id="206" w:name="_Toc2341661"/>
      <w:bookmarkStart w:id="207" w:name="_Toc20417_WPSOffice_Level1"/>
      <w:r>
        <w:rPr>
          <w:rFonts w:hint="eastAsia" w:asciiTheme="minorEastAsia" w:hAnsiTheme="minorEastAsia" w:eastAsiaTheme="minorEastAsia" w:cstheme="minorEastAsia"/>
          <w:b/>
          <w:bCs/>
          <w:color w:val="auto"/>
          <w:sz w:val="28"/>
          <w:szCs w:val="28"/>
          <w:lang w:eastAsia="zh-CN"/>
        </w:rPr>
        <w:t>评审方式及程序</w:t>
      </w:r>
      <w:bookmarkEnd w:id="199"/>
      <w:bookmarkEnd w:id="200"/>
      <w:bookmarkEnd w:id="201"/>
      <w:bookmarkEnd w:id="202"/>
      <w:bookmarkEnd w:id="203"/>
      <w:bookmarkEnd w:id="204"/>
      <w:bookmarkEnd w:id="205"/>
      <w:bookmarkEnd w:id="206"/>
      <w:bookmarkEnd w:id="207"/>
    </w:p>
    <w:p>
      <w:pPr>
        <w:numPr>
          <w:ilvl w:val="0"/>
          <w:numId w:val="13"/>
        </w:numPr>
        <w:tabs>
          <w:tab w:val="left" w:pos="0"/>
        </w:tabs>
        <w:spacing w:line="360" w:lineRule="auto"/>
        <w:ind w:left="0" w:leftChars="0" w:firstLine="0" w:firstLineChars="0"/>
        <w:outlineLvl w:val="1"/>
        <w:rPr>
          <w:rFonts w:hint="eastAsia" w:asciiTheme="minorEastAsia" w:hAnsiTheme="minorEastAsia" w:eastAsiaTheme="minorEastAsia" w:cstheme="minorEastAsia"/>
          <w:b/>
          <w:bCs w:val="0"/>
          <w:color w:val="auto"/>
          <w:szCs w:val="21"/>
          <w:lang w:eastAsia="zh-CN"/>
        </w:rPr>
      </w:pPr>
      <w:bookmarkStart w:id="208" w:name="_Toc98580289"/>
      <w:bookmarkStart w:id="209" w:name="_Toc98579065"/>
      <w:bookmarkStart w:id="210" w:name="_Toc101771375"/>
      <w:bookmarkStart w:id="211" w:name="_Toc42394669"/>
      <w:bookmarkStart w:id="212" w:name="_Toc50276153"/>
      <w:bookmarkStart w:id="213" w:name="_Toc101951266"/>
      <w:bookmarkStart w:id="214" w:name="_Toc101775128"/>
      <w:bookmarkStart w:id="215" w:name="_Toc98579606"/>
      <w:bookmarkStart w:id="216" w:name="_Toc98579007"/>
      <w:bookmarkStart w:id="217" w:name="_Toc264203535"/>
      <w:bookmarkStart w:id="218" w:name="_Toc42394513"/>
      <w:bookmarkStart w:id="219" w:name="_Toc101843128"/>
      <w:bookmarkStart w:id="220" w:name="_Toc2341911"/>
      <w:bookmarkStart w:id="221" w:name="_Toc2341742"/>
      <w:bookmarkStart w:id="222" w:name="_Toc3386"/>
      <w:bookmarkStart w:id="223" w:name="_Toc2341335"/>
      <w:bookmarkStart w:id="224" w:name="_Toc2341662"/>
      <w:r>
        <w:rPr>
          <w:rFonts w:hint="eastAsia" w:asciiTheme="minorEastAsia" w:hAnsiTheme="minorEastAsia" w:eastAsiaTheme="minorEastAsia" w:cstheme="minorEastAsia"/>
          <w:b/>
          <w:bCs w:val="0"/>
          <w:color w:val="auto"/>
          <w:szCs w:val="21"/>
          <w:lang w:eastAsia="zh-CN"/>
        </w:rPr>
        <w:t>评</w:t>
      </w:r>
      <w:bookmarkEnd w:id="208"/>
      <w:bookmarkEnd w:id="209"/>
      <w:bookmarkEnd w:id="210"/>
      <w:bookmarkEnd w:id="211"/>
      <w:bookmarkEnd w:id="212"/>
      <w:bookmarkEnd w:id="213"/>
      <w:bookmarkEnd w:id="214"/>
      <w:bookmarkEnd w:id="215"/>
      <w:bookmarkEnd w:id="216"/>
      <w:bookmarkEnd w:id="217"/>
      <w:bookmarkEnd w:id="218"/>
      <w:bookmarkEnd w:id="219"/>
      <w:r>
        <w:rPr>
          <w:rFonts w:hint="eastAsia" w:asciiTheme="minorEastAsia" w:hAnsiTheme="minorEastAsia" w:eastAsiaTheme="minorEastAsia" w:cstheme="minorEastAsia"/>
          <w:b/>
          <w:bCs w:val="0"/>
          <w:color w:val="auto"/>
          <w:szCs w:val="21"/>
          <w:lang w:eastAsia="zh-CN"/>
        </w:rPr>
        <w:t>审方式</w:t>
      </w:r>
      <w:bookmarkEnd w:id="220"/>
      <w:bookmarkEnd w:id="221"/>
      <w:bookmarkEnd w:id="222"/>
      <w:bookmarkEnd w:id="223"/>
      <w:bookmarkEnd w:id="224"/>
    </w:p>
    <w:p>
      <w:pPr>
        <w:numPr>
          <w:ilvl w:val="2"/>
          <w:numId w:val="12"/>
        </w:numPr>
        <w:spacing w:line="360" w:lineRule="auto"/>
        <w:ind w:left="397" w:leftChars="0" w:firstLine="0" w:firstLineChars="0"/>
        <w:outlineLvl w:val="9"/>
        <w:rPr>
          <w:rFonts w:hint="eastAsia" w:asciiTheme="minorEastAsia" w:hAnsiTheme="minorEastAsia" w:eastAsiaTheme="minorEastAsia" w:cstheme="minorEastAsia"/>
          <w:b w:val="0"/>
          <w:bCs/>
          <w:color w:val="auto"/>
          <w:szCs w:val="21"/>
          <w:lang w:eastAsia="zh-CN"/>
        </w:rPr>
      </w:pPr>
      <w:bookmarkStart w:id="225" w:name="_Toc2341336"/>
      <w:bookmarkStart w:id="226" w:name="_Toc2341743"/>
      <w:r>
        <w:rPr>
          <w:rFonts w:hint="eastAsia" w:asciiTheme="minorEastAsia" w:hAnsiTheme="minorEastAsia" w:eastAsiaTheme="minorEastAsia" w:cstheme="minorEastAsia"/>
          <w:b w:val="0"/>
          <w:bCs/>
          <w:color w:val="auto"/>
          <w:szCs w:val="21"/>
          <w:lang w:eastAsia="zh-CN"/>
        </w:rPr>
        <w:t>本次采购由广州检验检测认证集团有限公司采购评审小组进行评审。</w:t>
      </w:r>
      <w:bookmarkEnd w:id="225"/>
      <w:bookmarkEnd w:id="226"/>
    </w:p>
    <w:p>
      <w:pPr>
        <w:numPr>
          <w:ilvl w:val="2"/>
          <w:numId w:val="12"/>
        </w:numPr>
        <w:spacing w:line="360" w:lineRule="auto"/>
        <w:ind w:left="397" w:leftChars="0" w:firstLine="0" w:firstLineChars="0"/>
        <w:outlineLvl w:val="9"/>
        <w:rPr>
          <w:rFonts w:hint="eastAsia" w:asciiTheme="minorEastAsia" w:hAnsiTheme="minorEastAsia" w:eastAsiaTheme="minorEastAsia" w:cstheme="minorEastAsia"/>
          <w:b w:val="0"/>
          <w:bCs/>
          <w:color w:val="auto"/>
          <w:szCs w:val="21"/>
          <w:lang w:eastAsia="zh-CN"/>
        </w:rPr>
      </w:pPr>
      <w:bookmarkStart w:id="227" w:name="_Toc2341744"/>
      <w:bookmarkStart w:id="228" w:name="_Toc2341337"/>
      <w:r>
        <w:rPr>
          <w:rFonts w:hint="eastAsia" w:asciiTheme="minorEastAsia" w:hAnsiTheme="minorEastAsia" w:eastAsiaTheme="minorEastAsia" w:cstheme="minorEastAsia"/>
          <w:b w:val="0"/>
          <w:bCs/>
          <w:color w:val="auto"/>
          <w:szCs w:val="21"/>
          <w:lang w:eastAsia="zh-CN"/>
        </w:rPr>
        <w:t>本次评审采用综合评分法。评审以采购文件规定的条件为依据。评分比重</w:t>
      </w:r>
      <w:r>
        <w:rPr>
          <w:rFonts w:hint="eastAsia" w:asciiTheme="minorEastAsia" w:hAnsiTheme="minorEastAsia" w:eastAsiaTheme="minorEastAsia" w:cstheme="minorEastAsia"/>
          <w:b w:val="0"/>
          <w:bCs/>
          <w:color w:val="auto"/>
          <w:szCs w:val="21"/>
          <w:lang w:val="en-US" w:eastAsia="zh-CN"/>
        </w:rPr>
        <w:t>构成</w:t>
      </w:r>
      <w:r>
        <w:rPr>
          <w:rFonts w:hint="eastAsia" w:asciiTheme="minorEastAsia" w:hAnsiTheme="minorEastAsia" w:eastAsiaTheme="minorEastAsia" w:cstheme="minorEastAsia"/>
          <w:b w:val="0"/>
          <w:bCs/>
          <w:color w:val="auto"/>
          <w:szCs w:val="21"/>
          <w:lang w:eastAsia="zh-CN"/>
        </w:rPr>
        <w:t>如下：</w:t>
      </w:r>
      <w:bookmarkEnd w:id="227"/>
      <w:bookmarkEnd w:id="228"/>
    </w:p>
    <w:tbl>
      <w:tblPr>
        <w:tblStyle w:val="13"/>
        <w:tblW w:w="713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89"/>
        <w:gridCol w:w="1154"/>
        <w:gridCol w:w="1119"/>
        <w:gridCol w:w="2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shd w:val="clear" w:color="auto" w:fill="D0CECE" w:themeFill="background2" w:themeFillShade="E6"/>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eastAsia="zh-CN"/>
              </w:rPr>
            </w:pPr>
            <w:bookmarkStart w:id="229" w:name="_Toc6200"/>
            <w:bookmarkStart w:id="230" w:name="_Toc29050"/>
            <w:bookmarkStart w:id="231" w:name="_Toc28117"/>
            <w:r>
              <w:rPr>
                <w:rFonts w:hint="eastAsia" w:asciiTheme="minorEastAsia" w:hAnsiTheme="minorEastAsia" w:eastAsiaTheme="minorEastAsia" w:cstheme="minorEastAsia"/>
                <w:b w:val="0"/>
                <w:bCs w:val="0"/>
                <w:color w:val="auto"/>
                <w:sz w:val="21"/>
                <w:szCs w:val="21"/>
                <w:highlight w:val="none"/>
                <w:lang w:eastAsia="zh-CN"/>
              </w:rPr>
              <w:t>评分项目</w:t>
            </w:r>
            <w:bookmarkEnd w:id="229"/>
            <w:bookmarkEnd w:id="230"/>
            <w:bookmarkEnd w:id="231"/>
          </w:p>
        </w:tc>
        <w:tc>
          <w:tcPr>
            <w:tcW w:w="1089" w:type="dxa"/>
            <w:shd w:val="clear" w:color="auto" w:fill="D0CECE" w:themeFill="background2" w:themeFillShade="E6"/>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eastAsia="zh-CN"/>
              </w:rPr>
            </w:pPr>
            <w:bookmarkStart w:id="232" w:name="_Toc11990"/>
            <w:bookmarkStart w:id="233" w:name="_Toc19780"/>
            <w:bookmarkStart w:id="234" w:name="_Toc26944"/>
            <w:r>
              <w:rPr>
                <w:rFonts w:hint="eastAsia" w:asciiTheme="minorEastAsia" w:hAnsiTheme="minorEastAsia" w:eastAsiaTheme="minorEastAsia" w:cstheme="minorEastAsia"/>
                <w:b w:val="0"/>
                <w:bCs w:val="0"/>
                <w:color w:val="auto"/>
                <w:sz w:val="21"/>
                <w:szCs w:val="21"/>
                <w:highlight w:val="none"/>
                <w:lang w:eastAsia="zh-CN"/>
              </w:rPr>
              <w:t>技术部分</w:t>
            </w:r>
            <w:bookmarkEnd w:id="232"/>
            <w:bookmarkEnd w:id="233"/>
            <w:bookmarkEnd w:id="234"/>
          </w:p>
        </w:tc>
        <w:tc>
          <w:tcPr>
            <w:tcW w:w="1154" w:type="dxa"/>
            <w:shd w:val="clear" w:color="auto" w:fill="D0CECE" w:themeFill="background2" w:themeFillShade="E6"/>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eastAsia="zh-CN"/>
              </w:rPr>
            </w:pPr>
            <w:bookmarkStart w:id="235" w:name="_Toc24734"/>
            <w:bookmarkStart w:id="236" w:name="_Toc20591"/>
            <w:bookmarkStart w:id="237" w:name="_Toc191"/>
            <w:r>
              <w:rPr>
                <w:rFonts w:hint="eastAsia" w:asciiTheme="minorEastAsia" w:hAnsiTheme="minorEastAsia" w:eastAsiaTheme="minorEastAsia" w:cstheme="minorEastAsia"/>
                <w:b w:val="0"/>
                <w:bCs w:val="0"/>
                <w:color w:val="auto"/>
                <w:sz w:val="21"/>
                <w:szCs w:val="21"/>
                <w:highlight w:val="none"/>
                <w:lang w:val="en-US" w:eastAsia="zh-CN"/>
              </w:rPr>
              <w:t>商务</w:t>
            </w:r>
            <w:r>
              <w:rPr>
                <w:rFonts w:hint="eastAsia" w:asciiTheme="minorEastAsia" w:hAnsiTheme="minorEastAsia" w:eastAsiaTheme="minorEastAsia" w:cstheme="minorEastAsia"/>
                <w:b w:val="0"/>
                <w:bCs w:val="0"/>
                <w:color w:val="auto"/>
                <w:sz w:val="21"/>
                <w:szCs w:val="21"/>
                <w:highlight w:val="none"/>
                <w:lang w:eastAsia="zh-CN"/>
              </w:rPr>
              <w:t>部分</w:t>
            </w:r>
          </w:p>
          <w:bookmarkEnd w:id="235"/>
          <w:bookmarkEnd w:id="236"/>
          <w:bookmarkEnd w:id="237"/>
        </w:tc>
        <w:tc>
          <w:tcPr>
            <w:tcW w:w="1119" w:type="dxa"/>
            <w:shd w:val="clear" w:color="auto" w:fill="D0CECE" w:themeFill="background2" w:themeFillShade="E6"/>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价格部分</w:t>
            </w:r>
          </w:p>
        </w:tc>
        <w:tc>
          <w:tcPr>
            <w:tcW w:w="2354" w:type="dxa"/>
            <w:shd w:val="clear" w:color="auto" w:fill="D0CECE" w:themeFill="background2" w:themeFillShade="E6"/>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eastAsia="zh-CN"/>
              </w:rPr>
            </w:pPr>
            <w:bookmarkStart w:id="238" w:name="_Toc27322"/>
            <w:bookmarkStart w:id="239" w:name="_Toc1293"/>
            <w:bookmarkStart w:id="240" w:name="_Toc30525"/>
            <w:r>
              <w:rPr>
                <w:rFonts w:hint="eastAsia" w:asciiTheme="minorEastAsia" w:hAnsiTheme="minorEastAsia" w:eastAsiaTheme="minorEastAsia" w:cstheme="minorEastAsia"/>
                <w:b w:val="0"/>
                <w:bCs w:val="0"/>
                <w:color w:val="auto"/>
                <w:sz w:val="21"/>
                <w:szCs w:val="21"/>
                <w:highlight w:val="none"/>
                <w:lang w:eastAsia="zh-CN"/>
              </w:rPr>
              <w:t>总分</w:t>
            </w:r>
            <w:bookmarkEnd w:id="238"/>
            <w:bookmarkEnd w:id="239"/>
            <w:bookmarkEnd w:id="2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eastAsia="zh-CN"/>
              </w:rPr>
            </w:pPr>
            <w:bookmarkStart w:id="241" w:name="_Toc20546"/>
            <w:bookmarkStart w:id="242" w:name="_Toc25080"/>
            <w:bookmarkStart w:id="243" w:name="_Toc28806"/>
            <w:r>
              <w:rPr>
                <w:rFonts w:hint="eastAsia" w:asciiTheme="minorEastAsia" w:hAnsiTheme="minorEastAsia" w:eastAsiaTheme="minorEastAsia" w:cstheme="minorEastAsia"/>
                <w:b w:val="0"/>
                <w:bCs w:val="0"/>
                <w:color w:val="auto"/>
                <w:sz w:val="21"/>
                <w:szCs w:val="21"/>
                <w:highlight w:val="none"/>
                <w:lang w:eastAsia="zh-CN"/>
              </w:rPr>
              <w:t>分值</w:t>
            </w:r>
            <w:bookmarkEnd w:id="241"/>
            <w:bookmarkEnd w:id="242"/>
            <w:bookmarkEnd w:id="243"/>
          </w:p>
        </w:tc>
        <w:tc>
          <w:tcPr>
            <w:tcW w:w="1089" w:type="dxa"/>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45</w:t>
            </w:r>
          </w:p>
        </w:tc>
        <w:tc>
          <w:tcPr>
            <w:tcW w:w="1154" w:type="dxa"/>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val="en-US" w:eastAsia="zh-CN"/>
              </w:rPr>
            </w:pPr>
            <w:bookmarkStart w:id="244" w:name="_Toc6698"/>
            <w:bookmarkStart w:id="245" w:name="_Toc12592"/>
            <w:bookmarkStart w:id="246" w:name="_Toc25086"/>
            <w:r>
              <w:rPr>
                <w:rFonts w:hint="eastAsia" w:asciiTheme="minorEastAsia" w:hAnsiTheme="minorEastAsia" w:eastAsiaTheme="minorEastAsia" w:cstheme="minorEastAsia"/>
                <w:b w:val="0"/>
                <w:bCs w:val="0"/>
                <w:color w:val="auto"/>
                <w:sz w:val="21"/>
                <w:szCs w:val="21"/>
                <w:highlight w:val="none"/>
                <w:lang w:val="en-US" w:eastAsia="zh-CN"/>
              </w:rPr>
              <w:t>20</w:t>
            </w:r>
          </w:p>
          <w:bookmarkEnd w:id="244"/>
          <w:bookmarkEnd w:id="245"/>
          <w:bookmarkEnd w:id="246"/>
        </w:tc>
        <w:tc>
          <w:tcPr>
            <w:tcW w:w="1119" w:type="dxa"/>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35</w:t>
            </w:r>
          </w:p>
        </w:tc>
        <w:tc>
          <w:tcPr>
            <w:tcW w:w="2354" w:type="dxa"/>
            <w:vAlign w:val="center"/>
          </w:tcPr>
          <w:p>
            <w:pPr>
              <w:numPr>
                <w:ilvl w:val="0"/>
                <w:numId w:val="0"/>
              </w:numPr>
              <w:adjustRightInd w:val="0"/>
              <w:snapToGrid w:val="0"/>
              <w:spacing w:beforeLines="50" w:afterLines="50" w:line="360" w:lineRule="auto"/>
              <w:jc w:val="center"/>
              <w:outlineLvl w:val="9"/>
              <w:rPr>
                <w:rFonts w:hint="eastAsia" w:asciiTheme="minorEastAsia" w:hAnsiTheme="minorEastAsia" w:eastAsiaTheme="minorEastAsia" w:cstheme="minorEastAsia"/>
                <w:b w:val="0"/>
                <w:bCs w:val="0"/>
                <w:color w:val="auto"/>
                <w:sz w:val="21"/>
                <w:szCs w:val="21"/>
                <w:highlight w:val="none"/>
                <w:lang w:eastAsia="zh-CN"/>
              </w:rPr>
            </w:pPr>
            <w:bookmarkStart w:id="247" w:name="_Toc19675"/>
            <w:bookmarkStart w:id="248" w:name="_Toc4012"/>
            <w:bookmarkStart w:id="249" w:name="_Toc23067"/>
            <w:r>
              <w:rPr>
                <w:rFonts w:hint="eastAsia" w:asciiTheme="minorEastAsia" w:hAnsiTheme="minorEastAsia" w:eastAsiaTheme="minorEastAsia" w:cstheme="minorEastAsia"/>
                <w:b w:val="0"/>
                <w:bCs w:val="0"/>
                <w:color w:val="auto"/>
                <w:sz w:val="21"/>
                <w:szCs w:val="21"/>
                <w:highlight w:val="none"/>
                <w:lang w:eastAsia="zh-CN"/>
              </w:rPr>
              <w:t>100</w:t>
            </w:r>
            <w:bookmarkEnd w:id="247"/>
            <w:bookmarkEnd w:id="248"/>
            <w:bookmarkEnd w:id="249"/>
          </w:p>
        </w:tc>
      </w:tr>
    </w:tbl>
    <w:p>
      <w:pPr>
        <w:pStyle w:val="2"/>
        <w:rPr>
          <w:rFonts w:hint="eastAsia" w:asciiTheme="minorEastAsia" w:hAnsiTheme="minorEastAsia" w:eastAsiaTheme="minorEastAsia" w:cstheme="minorEastAsia"/>
          <w:b/>
          <w:color w:val="auto"/>
          <w:szCs w:val="21"/>
          <w:highlight w:val="none"/>
          <w:lang w:eastAsia="zh-CN"/>
        </w:rPr>
      </w:pPr>
    </w:p>
    <w:p>
      <w:pPr>
        <w:numPr>
          <w:ilvl w:val="0"/>
          <w:numId w:val="13"/>
        </w:numPr>
        <w:tabs>
          <w:tab w:val="left" w:pos="0"/>
        </w:tabs>
        <w:spacing w:line="360" w:lineRule="auto"/>
        <w:ind w:left="0" w:leftChars="0" w:firstLine="0" w:firstLineChars="0"/>
        <w:outlineLvl w:val="1"/>
        <w:rPr>
          <w:rFonts w:hint="eastAsia" w:asciiTheme="minorEastAsia" w:hAnsiTheme="minorEastAsia" w:eastAsiaTheme="minorEastAsia" w:cstheme="minorEastAsia"/>
          <w:b/>
          <w:color w:val="auto"/>
          <w:szCs w:val="21"/>
          <w:highlight w:val="none"/>
          <w:lang w:eastAsia="zh-CN"/>
        </w:rPr>
      </w:pPr>
      <w:bookmarkStart w:id="250" w:name="_Toc101775129"/>
      <w:bookmarkStart w:id="251" w:name="_Toc2341663"/>
      <w:bookmarkStart w:id="252" w:name="_Toc2341745"/>
      <w:bookmarkStart w:id="253" w:name="_Toc101771376"/>
      <w:bookmarkStart w:id="254" w:name="_Toc2341338"/>
      <w:bookmarkStart w:id="255" w:name="_Toc2341912"/>
      <w:bookmarkStart w:id="256" w:name="_Toc101951267"/>
      <w:bookmarkStart w:id="257" w:name="_Toc11622"/>
      <w:bookmarkStart w:id="258" w:name="_Toc264203536"/>
      <w:bookmarkStart w:id="259" w:name="_Toc101843129"/>
      <w:r>
        <w:rPr>
          <w:rFonts w:hint="eastAsia" w:asciiTheme="minorEastAsia" w:hAnsiTheme="minorEastAsia" w:eastAsiaTheme="minorEastAsia" w:cstheme="minorEastAsia"/>
          <w:b/>
          <w:color w:val="auto"/>
          <w:szCs w:val="21"/>
          <w:highlight w:val="none"/>
          <w:lang w:eastAsia="zh-CN"/>
        </w:rPr>
        <w:t>评审程序</w:t>
      </w:r>
      <w:bookmarkEnd w:id="250"/>
      <w:bookmarkEnd w:id="251"/>
      <w:bookmarkEnd w:id="252"/>
      <w:bookmarkEnd w:id="253"/>
      <w:bookmarkEnd w:id="254"/>
      <w:bookmarkEnd w:id="255"/>
      <w:bookmarkEnd w:id="256"/>
      <w:bookmarkEnd w:id="257"/>
      <w:bookmarkEnd w:id="258"/>
      <w:bookmarkEnd w:id="259"/>
    </w:p>
    <w:p>
      <w:pPr>
        <w:numPr>
          <w:ilvl w:val="2"/>
          <w:numId w:val="12"/>
        </w:numPr>
        <w:spacing w:line="360" w:lineRule="auto"/>
        <w:ind w:left="397" w:leftChars="0" w:firstLine="0" w:firstLineChars="0"/>
        <w:outlineLvl w:val="2"/>
        <w:rPr>
          <w:rFonts w:hint="eastAsia" w:asciiTheme="minorEastAsia" w:hAnsiTheme="minorEastAsia" w:eastAsiaTheme="minorEastAsia" w:cstheme="minorEastAsia"/>
          <w:b/>
          <w:bCs w:val="0"/>
          <w:color w:val="auto"/>
          <w:szCs w:val="21"/>
          <w:highlight w:val="none"/>
          <w:lang w:eastAsia="zh-CN"/>
        </w:rPr>
      </w:pPr>
      <w:bookmarkStart w:id="260" w:name="_Toc13064"/>
      <w:bookmarkStart w:id="261" w:name="_Toc2341339"/>
      <w:bookmarkStart w:id="262" w:name="_Toc2341746"/>
      <w:r>
        <w:rPr>
          <w:rFonts w:hint="eastAsia" w:asciiTheme="minorEastAsia" w:hAnsiTheme="minorEastAsia" w:eastAsiaTheme="minorEastAsia" w:cstheme="minorEastAsia"/>
          <w:b/>
          <w:bCs w:val="0"/>
          <w:color w:val="auto"/>
          <w:szCs w:val="21"/>
          <w:highlight w:val="none"/>
          <w:lang w:eastAsia="zh-CN"/>
        </w:rPr>
        <w:t>响应文件符合性审查</w:t>
      </w:r>
      <w:bookmarkEnd w:id="260"/>
      <w:bookmarkEnd w:id="261"/>
      <w:bookmarkEnd w:id="262"/>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eastAsia="zh-CN"/>
        </w:rPr>
        <w:t>项目采购评审小组将根据评审细则的规定，对各响应文件进行资格性审查和符合性审查。</w:t>
      </w:r>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eastAsia="zh-CN"/>
        </w:rPr>
        <w:t>响应文件出现下列情况之一时将被认定为无效响应：</w:t>
      </w:r>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lang w:eastAsia="zh-CN"/>
        </w:rPr>
        <w:t>响应人不具备采购文件中规定资格要求的；</w:t>
      </w:r>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63" w:name="_Toc533236383"/>
      <w:r>
        <w:rPr>
          <w:rFonts w:hint="eastAsia" w:asciiTheme="minorEastAsia" w:hAnsiTheme="minorEastAsia" w:eastAsiaTheme="minorEastAsia" w:cstheme="minorEastAsia"/>
          <w:b w:val="0"/>
          <w:bCs/>
          <w:color w:val="auto"/>
          <w:szCs w:val="21"/>
          <w:lang w:eastAsia="zh-CN"/>
        </w:rPr>
        <w:t>响应报价不是唯一，高于采购人需求规定的最高限价或低于成本价响应且未能提供相关证明材料的；</w:t>
      </w:r>
      <w:bookmarkEnd w:id="263"/>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64" w:name="_Toc533236384"/>
      <w:bookmarkStart w:id="265" w:name="_Toc334797744"/>
      <w:r>
        <w:rPr>
          <w:rFonts w:hint="eastAsia" w:asciiTheme="minorEastAsia" w:hAnsiTheme="minorEastAsia" w:eastAsiaTheme="minorEastAsia" w:cstheme="minorEastAsia"/>
          <w:b w:val="0"/>
          <w:bCs/>
          <w:color w:val="auto"/>
          <w:szCs w:val="21"/>
          <w:lang w:eastAsia="zh-CN"/>
        </w:rPr>
        <w:t>响应文件未按采购文件的要求盖章及由法定代表人(或法定代表人委托的代理人)的印鉴或签名的；</w:t>
      </w:r>
      <w:bookmarkEnd w:id="264"/>
      <w:bookmarkEnd w:id="265"/>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66" w:name="_Toc334797745"/>
      <w:bookmarkStart w:id="267" w:name="_Toc533236385"/>
      <w:r>
        <w:rPr>
          <w:rFonts w:hint="eastAsia" w:asciiTheme="minorEastAsia" w:hAnsiTheme="minorEastAsia" w:eastAsiaTheme="minorEastAsia" w:cstheme="minorEastAsia"/>
          <w:b w:val="0"/>
          <w:bCs/>
          <w:color w:val="auto"/>
          <w:szCs w:val="21"/>
          <w:lang w:eastAsia="zh-CN"/>
        </w:rPr>
        <w:t>响应文件没有提供有效的法定代表人证明及授权书；</w:t>
      </w:r>
      <w:bookmarkEnd w:id="266"/>
      <w:bookmarkEnd w:id="267"/>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68" w:name="_Toc334797747"/>
      <w:bookmarkStart w:id="269" w:name="_Toc533236386"/>
      <w:r>
        <w:rPr>
          <w:rFonts w:hint="eastAsia" w:asciiTheme="minorEastAsia" w:hAnsiTheme="minorEastAsia" w:eastAsiaTheme="minorEastAsia" w:cstheme="minorEastAsia"/>
          <w:b w:val="0"/>
          <w:bCs/>
          <w:color w:val="auto"/>
          <w:szCs w:val="21"/>
          <w:lang w:eastAsia="zh-CN"/>
        </w:rPr>
        <w:t>响应文件未完全满足采购文件中带★号的条款和指标，或不符合采购文件的其他要求，有重大偏离的；</w:t>
      </w:r>
      <w:bookmarkEnd w:id="268"/>
      <w:bookmarkEnd w:id="269"/>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70" w:name="_Toc533236387"/>
      <w:bookmarkStart w:id="271" w:name="_Toc334797748"/>
      <w:r>
        <w:rPr>
          <w:rFonts w:hint="eastAsia" w:asciiTheme="minorEastAsia" w:hAnsiTheme="minorEastAsia" w:eastAsiaTheme="minorEastAsia" w:cstheme="minorEastAsia"/>
          <w:b w:val="0"/>
          <w:bCs/>
          <w:color w:val="auto"/>
          <w:szCs w:val="21"/>
          <w:lang w:eastAsia="zh-CN"/>
        </w:rPr>
        <w:t>评审期间，响应人没有按评审小组的要求提交经授权代表签字的澄清、说明、补正或改变了响应文件的实质性内容的；</w:t>
      </w:r>
      <w:bookmarkEnd w:id="270"/>
      <w:bookmarkEnd w:id="271"/>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72" w:name="_Toc334797749"/>
      <w:bookmarkStart w:id="273" w:name="_Toc533236388"/>
      <w:r>
        <w:rPr>
          <w:rFonts w:hint="eastAsia" w:asciiTheme="minorEastAsia" w:hAnsiTheme="minorEastAsia" w:eastAsiaTheme="minorEastAsia" w:cstheme="minorEastAsia"/>
          <w:b w:val="0"/>
          <w:bCs/>
          <w:color w:val="auto"/>
          <w:szCs w:val="21"/>
          <w:lang w:eastAsia="zh-CN"/>
        </w:rPr>
        <w:t>经评审小组认定响应文件提供虚假材料的；</w:t>
      </w:r>
      <w:bookmarkEnd w:id="272"/>
      <w:bookmarkEnd w:id="273"/>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74" w:name="_Toc533236389"/>
      <w:bookmarkStart w:id="275" w:name="_Toc334797750"/>
      <w:r>
        <w:rPr>
          <w:rFonts w:hint="eastAsia" w:asciiTheme="minorEastAsia" w:hAnsiTheme="minorEastAsia" w:eastAsiaTheme="minorEastAsia" w:cstheme="minorEastAsia"/>
          <w:b w:val="0"/>
          <w:bCs/>
          <w:color w:val="auto"/>
          <w:szCs w:val="21"/>
          <w:lang w:eastAsia="zh-CN"/>
        </w:rPr>
        <w:t>响应人以他人的名义响应、串通、以行贿手段谋取成交或者以其他弄虚作假方式的；</w:t>
      </w:r>
      <w:bookmarkEnd w:id="274"/>
      <w:bookmarkEnd w:id="275"/>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76" w:name="_Toc334797751"/>
      <w:bookmarkStart w:id="277" w:name="_Toc533236390"/>
      <w:r>
        <w:rPr>
          <w:rFonts w:hint="eastAsia" w:asciiTheme="minorEastAsia" w:hAnsiTheme="minorEastAsia" w:eastAsiaTheme="minorEastAsia" w:cstheme="minorEastAsia"/>
          <w:b w:val="0"/>
          <w:bCs/>
          <w:color w:val="auto"/>
          <w:szCs w:val="21"/>
          <w:lang w:eastAsia="zh-CN"/>
        </w:rPr>
        <w:t>响应人对采购人、评审小组及其工作人员施加影响，有碍评审公平、公正的；</w:t>
      </w:r>
      <w:bookmarkEnd w:id="276"/>
      <w:bookmarkEnd w:id="277"/>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78" w:name="_Toc334797752"/>
      <w:bookmarkStart w:id="279" w:name="_Toc533236391"/>
      <w:r>
        <w:rPr>
          <w:rFonts w:hint="eastAsia" w:asciiTheme="minorEastAsia" w:hAnsiTheme="minorEastAsia" w:eastAsiaTheme="minorEastAsia" w:cstheme="minorEastAsia"/>
          <w:b w:val="0"/>
          <w:bCs/>
          <w:color w:val="auto"/>
          <w:szCs w:val="21"/>
          <w:lang w:eastAsia="zh-CN"/>
        </w:rPr>
        <w:t>响应文件附有采购人不能接受的条件；</w:t>
      </w:r>
      <w:bookmarkEnd w:id="278"/>
      <w:bookmarkEnd w:id="279"/>
    </w:p>
    <w:p>
      <w:pPr>
        <w:numPr>
          <w:ilvl w:val="4"/>
          <w:numId w:val="12"/>
        </w:numPr>
        <w:tabs>
          <w:tab w:val="left" w:pos="397"/>
          <w:tab w:val="clear" w:pos="420"/>
        </w:tabs>
        <w:spacing w:line="360" w:lineRule="auto"/>
        <w:ind w:left="0" w:leftChars="0" w:firstLine="402" w:firstLineChars="0"/>
        <w:rPr>
          <w:rFonts w:hint="eastAsia" w:asciiTheme="minorEastAsia" w:hAnsiTheme="minorEastAsia" w:eastAsiaTheme="minorEastAsia" w:cstheme="minorEastAsia"/>
          <w:b w:val="0"/>
          <w:bCs/>
          <w:color w:val="auto"/>
          <w:szCs w:val="21"/>
          <w:lang w:eastAsia="zh-CN"/>
        </w:rPr>
      </w:pPr>
      <w:bookmarkStart w:id="280" w:name="_Toc334797753"/>
      <w:bookmarkStart w:id="281" w:name="_Toc533236392"/>
      <w:r>
        <w:rPr>
          <w:rFonts w:hint="eastAsia" w:asciiTheme="minorEastAsia" w:hAnsiTheme="minorEastAsia" w:eastAsiaTheme="minorEastAsia" w:cstheme="minorEastAsia"/>
          <w:b w:val="0"/>
          <w:bCs/>
          <w:color w:val="auto"/>
          <w:szCs w:val="21"/>
          <w:lang w:eastAsia="zh-CN"/>
        </w:rPr>
        <w:t>出现不符合相关法律、法规要求的情况的。</w:t>
      </w:r>
      <w:bookmarkEnd w:id="280"/>
      <w:bookmarkEnd w:id="281"/>
    </w:p>
    <w:p>
      <w:pPr>
        <w:numPr>
          <w:ilvl w:val="2"/>
          <w:numId w:val="12"/>
        </w:numPr>
        <w:spacing w:line="360" w:lineRule="auto"/>
        <w:ind w:left="397" w:leftChars="0" w:firstLine="0" w:firstLineChars="0"/>
        <w:outlineLvl w:val="2"/>
        <w:rPr>
          <w:rFonts w:hint="eastAsia" w:asciiTheme="minorEastAsia" w:hAnsiTheme="minorEastAsia" w:eastAsiaTheme="minorEastAsia" w:cstheme="minorEastAsia"/>
          <w:b/>
          <w:bCs w:val="0"/>
          <w:color w:val="auto"/>
          <w:szCs w:val="21"/>
          <w:lang w:eastAsia="zh-CN"/>
        </w:rPr>
      </w:pPr>
      <w:bookmarkStart w:id="282" w:name="_Toc2341340"/>
      <w:bookmarkStart w:id="283" w:name="_Toc2341747"/>
      <w:bookmarkStart w:id="284" w:name="_Toc11299"/>
      <w:r>
        <w:rPr>
          <w:rFonts w:hint="eastAsia" w:asciiTheme="minorEastAsia" w:hAnsiTheme="minorEastAsia" w:eastAsiaTheme="minorEastAsia" w:cstheme="minorEastAsia"/>
          <w:b/>
          <w:bCs w:val="0"/>
          <w:color w:val="auto"/>
          <w:szCs w:val="21"/>
          <w:lang w:eastAsia="zh-CN"/>
        </w:rPr>
        <w:t>响应文件的澄清</w:t>
      </w:r>
      <w:bookmarkEnd w:id="282"/>
      <w:bookmarkEnd w:id="283"/>
      <w:bookmarkEnd w:id="284"/>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lang w:eastAsia="zh-CN"/>
        </w:rPr>
        <w:t>对响应文件中含义不明确、同类问题表述不一致或者有明显文字和计算错误的内容，项目采购评审小组可以书面形式要求响应人作出必要的澄清、说明或者纠正。</w:t>
      </w:r>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lang w:eastAsia="zh-CN"/>
        </w:rPr>
        <w:t>响应人的澄清、说明或者补正应当采用书面形式，由其授权的代表签字，并不得超出响应文件的范围或者改变响应文件的实质性内容。</w:t>
      </w:r>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lang w:eastAsia="zh-CN"/>
        </w:rPr>
        <w:t>除上述规定的情形之外，项目采购评审小组在评审过程中，不得接收来自评审现场以外的任何形式的文件资料。</w:t>
      </w:r>
    </w:p>
    <w:p>
      <w:pPr>
        <w:numPr>
          <w:ilvl w:val="2"/>
          <w:numId w:val="12"/>
        </w:numPr>
        <w:spacing w:line="360" w:lineRule="auto"/>
        <w:ind w:left="397" w:leftChars="0" w:firstLine="0" w:firstLineChars="0"/>
        <w:outlineLvl w:val="2"/>
        <w:rPr>
          <w:rFonts w:hint="eastAsia" w:asciiTheme="minorEastAsia" w:hAnsiTheme="minorEastAsia" w:eastAsiaTheme="minorEastAsia" w:cstheme="minorEastAsia"/>
          <w:b/>
          <w:bCs w:val="0"/>
          <w:color w:val="auto"/>
          <w:szCs w:val="21"/>
          <w:lang w:eastAsia="zh-CN"/>
        </w:rPr>
      </w:pPr>
      <w:bookmarkStart w:id="285" w:name="_Toc2341341"/>
      <w:bookmarkStart w:id="286" w:name="_Toc2341748"/>
      <w:bookmarkStart w:id="287" w:name="_Toc11643"/>
      <w:r>
        <w:rPr>
          <w:rFonts w:hint="eastAsia" w:asciiTheme="minorEastAsia" w:hAnsiTheme="minorEastAsia" w:eastAsiaTheme="minorEastAsia" w:cstheme="minorEastAsia"/>
          <w:b/>
          <w:bCs w:val="0"/>
          <w:color w:val="auto"/>
          <w:szCs w:val="21"/>
          <w:lang w:eastAsia="zh-CN"/>
        </w:rPr>
        <w:t>比较与</w:t>
      </w:r>
      <w:bookmarkEnd w:id="285"/>
      <w:bookmarkEnd w:id="286"/>
      <w:r>
        <w:rPr>
          <w:rFonts w:hint="eastAsia" w:asciiTheme="minorEastAsia" w:hAnsiTheme="minorEastAsia" w:eastAsiaTheme="minorEastAsia" w:cstheme="minorEastAsia"/>
          <w:b/>
          <w:bCs w:val="0"/>
          <w:color w:val="auto"/>
          <w:szCs w:val="21"/>
          <w:lang w:eastAsia="zh-CN"/>
        </w:rPr>
        <w:t>评审</w:t>
      </w:r>
      <w:bookmarkEnd w:id="287"/>
    </w:p>
    <w:p>
      <w:pPr>
        <w:numPr>
          <w:ilvl w:val="0"/>
          <w:numId w:val="0"/>
        </w:numPr>
        <w:adjustRightInd w:val="0"/>
        <w:snapToGrid w:val="0"/>
        <w:spacing w:beforeLines="50" w:afterLines="50" w:line="360" w:lineRule="auto"/>
        <w:jc w:val="both"/>
        <w:outlineLvl w:val="9"/>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　　</w:t>
      </w:r>
      <w:bookmarkStart w:id="288" w:name="_Toc8799"/>
      <w:bookmarkStart w:id="289" w:name="_Toc24649"/>
      <w:bookmarkStart w:id="290" w:name="_Toc565"/>
      <w:r>
        <w:rPr>
          <w:rFonts w:hint="eastAsia" w:asciiTheme="minorEastAsia" w:hAnsiTheme="minorEastAsia" w:eastAsiaTheme="minorEastAsia" w:cstheme="minorEastAsia"/>
          <w:b w:val="0"/>
          <w:bCs w:val="0"/>
          <w:color w:val="auto"/>
          <w:sz w:val="21"/>
          <w:szCs w:val="21"/>
          <w:highlight w:val="none"/>
          <w:lang w:eastAsia="zh-CN"/>
        </w:rPr>
        <w:t>由评委对所有有效响应文件的技术、商务、价格部分进行审核和分析，填写《评审</w:t>
      </w:r>
      <w:r>
        <w:rPr>
          <w:rFonts w:hint="eastAsia" w:asciiTheme="minorEastAsia" w:hAnsiTheme="minorEastAsia" w:eastAsiaTheme="minorEastAsia" w:cstheme="minorEastAsia"/>
          <w:b w:val="0"/>
          <w:bCs w:val="0"/>
          <w:color w:val="auto"/>
          <w:sz w:val="21"/>
          <w:szCs w:val="21"/>
          <w:highlight w:val="none"/>
          <w:lang w:val="en-US" w:eastAsia="zh-CN"/>
        </w:rPr>
        <w:t>打</w:t>
      </w:r>
      <w:r>
        <w:rPr>
          <w:rFonts w:hint="eastAsia" w:asciiTheme="minorEastAsia" w:hAnsiTheme="minorEastAsia" w:eastAsiaTheme="minorEastAsia" w:cstheme="minorEastAsia"/>
          <w:b w:val="0"/>
          <w:bCs w:val="0"/>
          <w:color w:val="auto"/>
          <w:sz w:val="21"/>
          <w:szCs w:val="21"/>
          <w:highlight w:val="none"/>
          <w:lang w:eastAsia="zh-CN"/>
        </w:rPr>
        <w:t>分表》。评分内容详见附表二、附表三。</w:t>
      </w:r>
      <w:bookmarkEnd w:id="288"/>
      <w:bookmarkEnd w:id="289"/>
      <w:bookmarkEnd w:id="290"/>
    </w:p>
    <w:p>
      <w:pPr>
        <w:numPr>
          <w:ilvl w:val="3"/>
          <w:numId w:val="12"/>
        </w:numPr>
        <w:tabs>
          <w:tab w:val="left" w:pos="397"/>
          <w:tab w:val="clear" w:pos="420"/>
        </w:tabs>
        <w:spacing w:line="360" w:lineRule="auto"/>
        <w:ind w:left="0" w:leftChars="0" w:firstLine="397" w:firstLineChars="0"/>
        <w:outlineLvl w:val="9"/>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val="en-US" w:eastAsia="zh-CN"/>
        </w:rPr>
        <w:t>技术</w:t>
      </w:r>
      <w:r>
        <w:rPr>
          <w:rFonts w:hint="eastAsia" w:asciiTheme="minorEastAsia" w:hAnsiTheme="minorEastAsia" w:eastAsiaTheme="minorEastAsia" w:cstheme="minorEastAsia"/>
          <w:b w:val="0"/>
          <w:bCs/>
          <w:color w:val="auto"/>
          <w:szCs w:val="21"/>
          <w:highlight w:val="none"/>
          <w:lang w:eastAsia="zh-CN"/>
        </w:rPr>
        <w:t>评分：</w:t>
      </w:r>
    </w:p>
    <w:p>
      <w:pPr>
        <w:numPr>
          <w:ilvl w:val="0"/>
          <w:numId w:val="0"/>
        </w:numPr>
        <w:tabs>
          <w:tab w:val="left" w:pos="397"/>
        </w:tabs>
        <w:spacing w:line="360" w:lineRule="auto"/>
        <w:ind w:left="397" w:leftChars="0"/>
        <w:outlineLvl w:val="9"/>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将各个评委的技术评分汇总，进行算术平均，得出该响应人的</w:t>
      </w:r>
      <w:r>
        <w:rPr>
          <w:rFonts w:hint="eastAsia" w:asciiTheme="minorEastAsia" w:hAnsiTheme="minorEastAsia" w:eastAsiaTheme="minorEastAsia" w:cstheme="minorEastAsia"/>
          <w:b w:val="0"/>
          <w:bCs w:val="0"/>
          <w:color w:val="auto"/>
          <w:sz w:val="21"/>
          <w:szCs w:val="21"/>
          <w:highlight w:val="none"/>
          <w:lang w:val="en-US" w:eastAsia="zh-CN"/>
        </w:rPr>
        <w:t>技术</w:t>
      </w:r>
      <w:r>
        <w:rPr>
          <w:rFonts w:hint="eastAsia" w:asciiTheme="minorEastAsia" w:hAnsiTheme="minorEastAsia" w:eastAsiaTheme="minorEastAsia" w:cstheme="minorEastAsia"/>
          <w:b w:val="0"/>
          <w:bCs w:val="0"/>
          <w:color w:val="auto"/>
          <w:sz w:val="21"/>
          <w:szCs w:val="21"/>
          <w:highlight w:val="none"/>
          <w:lang w:eastAsia="zh-CN"/>
        </w:rPr>
        <w:t>评分。</w:t>
      </w:r>
    </w:p>
    <w:p>
      <w:pPr>
        <w:numPr>
          <w:ilvl w:val="3"/>
          <w:numId w:val="12"/>
        </w:numPr>
        <w:tabs>
          <w:tab w:val="left" w:pos="397"/>
          <w:tab w:val="clear" w:pos="420"/>
        </w:tabs>
        <w:spacing w:line="360" w:lineRule="auto"/>
        <w:ind w:left="0" w:leftChars="0" w:firstLine="397" w:firstLineChars="0"/>
        <w:outlineLvl w:val="9"/>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color w:val="auto"/>
          <w:szCs w:val="21"/>
          <w:highlight w:val="none"/>
          <w:lang w:val="en-US" w:eastAsia="zh-CN"/>
        </w:rPr>
        <w:t>商务</w:t>
      </w:r>
      <w:r>
        <w:rPr>
          <w:rFonts w:hint="eastAsia" w:asciiTheme="minorEastAsia" w:hAnsiTheme="minorEastAsia" w:eastAsiaTheme="minorEastAsia" w:cstheme="minorEastAsia"/>
          <w:b w:val="0"/>
          <w:bCs/>
          <w:color w:val="auto"/>
          <w:szCs w:val="21"/>
          <w:highlight w:val="none"/>
          <w:lang w:eastAsia="zh-CN"/>
        </w:rPr>
        <w:t>评分：</w:t>
      </w:r>
      <w:bookmarkStart w:id="291" w:name="_Toc6596"/>
      <w:bookmarkStart w:id="292" w:name="_Toc31690"/>
      <w:bookmarkStart w:id="293" w:name="_Toc9774"/>
    </w:p>
    <w:p>
      <w:pPr>
        <w:numPr>
          <w:ilvl w:val="0"/>
          <w:numId w:val="0"/>
        </w:numPr>
        <w:tabs>
          <w:tab w:val="left" w:pos="397"/>
        </w:tabs>
        <w:spacing w:line="360" w:lineRule="auto"/>
        <w:ind w:left="397" w:leftChars="0"/>
        <w:outlineLvl w:val="9"/>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将各个评委的</w:t>
      </w:r>
      <w:r>
        <w:rPr>
          <w:rFonts w:hint="eastAsia" w:asciiTheme="minorEastAsia" w:hAnsiTheme="minorEastAsia" w:eastAsiaTheme="minorEastAsia" w:cstheme="minorEastAsia"/>
          <w:b w:val="0"/>
          <w:bCs w:val="0"/>
          <w:color w:val="auto"/>
          <w:sz w:val="21"/>
          <w:szCs w:val="21"/>
          <w:highlight w:val="none"/>
          <w:lang w:val="en-US" w:eastAsia="zh-CN"/>
        </w:rPr>
        <w:t>商务</w:t>
      </w:r>
      <w:r>
        <w:rPr>
          <w:rFonts w:hint="eastAsia" w:asciiTheme="minorEastAsia" w:hAnsiTheme="minorEastAsia" w:eastAsiaTheme="minorEastAsia" w:cstheme="minorEastAsia"/>
          <w:b w:val="0"/>
          <w:bCs w:val="0"/>
          <w:color w:val="auto"/>
          <w:sz w:val="21"/>
          <w:szCs w:val="21"/>
          <w:highlight w:val="none"/>
          <w:lang w:eastAsia="zh-CN"/>
        </w:rPr>
        <w:t>评分汇总，进行算术平均，得出该响应人的</w:t>
      </w:r>
      <w:r>
        <w:rPr>
          <w:rFonts w:hint="eastAsia" w:asciiTheme="minorEastAsia" w:hAnsiTheme="minorEastAsia" w:eastAsiaTheme="minorEastAsia" w:cstheme="minorEastAsia"/>
          <w:b w:val="0"/>
          <w:bCs w:val="0"/>
          <w:color w:val="auto"/>
          <w:sz w:val="21"/>
          <w:szCs w:val="21"/>
          <w:highlight w:val="none"/>
          <w:lang w:val="en-US" w:eastAsia="zh-CN"/>
        </w:rPr>
        <w:t>商务</w:t>
      </w:r>
      <w:r>
        <w:rPr>
          <w:rFonts w:hint="eastAsia" w:asciiTheme="minorEastAsia" w:hAnsiTheme="minorEastAsia" w:eastAsiaTheme="minorEastAsia" w:cstheme="minorEastAsia"/>
          <w:b w:val="0"/>
          <w:bCs w:val="0"/>
          <w:color w:val="auto"/>
          <w:sz w:val="21"/>
          <w:szCs w:val="21"/>
          <w:highlight w:val="none"/>
          <w:lang w:eastAsia="zh-CN"/>
        </w:rPr>
        <w:t>评分。</w:t>
      </w:r>
      <w:bookmarkEnd w:id="291"/>
      <w:bookmarkEnd w:id="292"/>
      <w:bookmarkEnd w:id="293"/>
    </w:p>
    <w:p>
      <w:pPr>
        <w:numPr>
          <w:ilvl w:val="3"/>
          <w:numId w:val="12"/>
        </w:numPr>
        <w:tabs>
          <w:tab w:val="left" w:pos="397"/>
          <w:tab w:val="clear" w:pos="420"/>
        </w:tabs>
        <w:spacing w:line="360" w:lineRule="auto"/>
        <w:ind w:left="0" w:leftChars="0" w:firstLine="397" w:firstLineChars="0"/>
        <w:outlineLvl w:val="9"/>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eastAsia="zh-CN"/>
        </w:rPr>
        <w:t>价格评分：</w:t>
      </w:r>
    </w:p>
    <w:p>
      <w:pPr>
        <w:numPr>
          <w:ilvl w:val="4"/>
          <w:numId w:val="12"/>
        </w:numPr>
        <w:tabs>
          <w:tab w:val="left" w:pos="397"/>
          <w:tab w:val="clear" w:pos="420"/>
        </w:tabs>
        <w:spacing w:line="360" w:lineRule="auto"/>
        <w:ind w:left="0" w:leftChars="0" w:firstLine="402" w:firstLineChars="0"/>
        <w:outlineLvl w:val="9"/>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eastAsia="zh-CN"/>
        </w:rPr>
        <w:t>评审价的确定，经响应文件初审进行必要的价格更正及按上述条款的原则校核修正后的价格为评审价；</w:t>
      </w:r>
    </w:p>
    <w:p>
      <w:pPr>
        <w:numPr>
          <w:ilvl w:val="4"/>
          <w:numId w:val="12"/>
        </w:numPr>
        <w:tabs>
          <w:tab w:val="left" w:pos="397"/>
          <w:tab w:val="clear" w:pos="420"/>
        </w:tabs>
        <w:spacing w:line="360" w:lineRule="auto"/>
        <w:ind w:left="0" w:leftChars="0" w:firstLine="402" w:firstLineChars="0"/>
        <w:outlineLvl w:val="9"/>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highlight w:val="none"/>
          <w:lang w:eastAsia="zh-CN"/>
        </w:rPr>
        <w:t>计算价格评分，各有效响应供应商的评审价中，取最低者作为基准价，各有效响应供应商的价格评分统一按照下列公式计算： 价格评分＝（基准价÷评审价）×</w:t>
      </w:r>
      <w:r>
        <w:rPr>
          <w:rFonts w:hint="eastAsia" w:asciiTheme="minorEastAsia" w:hAnsiTheme="minorEastAsia" w:eastAsiaTheme="minorEastAsia" w:cstheme="minorEastAsia"/>
          <w:b w:val="0"/>
          <w:bCs/>
          <w:color w:val="auto"/>
          <w:szCs w:val="21"/>
          <w:highlight w:val="none"/>
          <w:lang w:val="en-US" w:eastAsia="zh-CN"/>
        </w:rPr>
        <w:t>35</w:t>
      </w:r>
      <w:r>
        <w:rPr>
          <w:rFonts w:hint="eastAsia" w:asciiTheme="minorEastAsia" w:hAnsiTheme="minorEastAsia" w:eastAsiaTheme="minorEastAsia" w:cstheme="minorEastAsia"/>
          <w:b w:val="0"/>
          <w:bCs/>
          <w:color w:val="auto"/>
          <w:szCs w:val="21"/>
          <w:highlight w:val="none"/>
          <w:lang w:eastAsia="zh-CN"/>
        </w:rPr>
        <w:t>。</w:t>
      </w:r>
    </w:p>
    <w:p>
      <w:pPr>
        <w:numPr>
          <w:ilvl w:val="0"/>
          <w:numId w:val="0"/>
        </w:numPr>
        <w:adjustRightInd w:val="0"/>
        <w:snapToGrid w:val="0"/>
        <w:spacing w:beforeLines="50" w:afterLines="50" w:line="360" w:lineRule="auto"/>
        <w:jc w:val="both"/>
        <w:outlineLvl w:val="9"/>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　　</w:t>
      </w:r>
      <w:bookmarkStart w:id="294" w:name="_Toc3046"/>
      <w:bookmarkStart w:id="295" w:name="_Toc14153"/>
      <w:bookmarkStart w:id="296" w:name="_Toc4051"/>
      <w:r>
        <w:rPr>
          <w:rFonts w:hint="eastAsia" w:asciiTheme="minorEastAsia" w:hAnsiTheme="minorEastAsia" w:eastAsiaTheme="minorEastAsia" w:cstheme="minorEastAsia"/>
          <w:b w:val="0"/>
          <w:bCs w:val="0"/>
          <w:color w:val="auto"/>
          <w:sz w:val="21"/>
          <w:szCs w:val="21"/>
          <w:highlight w:val="none"/>
          <w:lang w:eastAsia="zh-CN"/>
        </w:rPr>
        <w:t>注：各项评分按四舍五入原则精确到小数点后2位。</w:t>
      </w:r>
      <w:bookmarkEnd w:id="294"/>
      <w:bookmarkEnd w:id="295"/>
      <w:bookmarkEnd w:id="296"/>
    </w:p>
    <w:p>
      <w:pPr>
        <w:numPr>
          <w:ilvl w:val="2"/>
          <w:numId w:val="12"/>
        </w:numPr>
        <w:spacing w:line="360" w:lineRule="auto"/>
        <w:ind w:left="397" w:leftChars="0" w:firstLine="0" w:firstLineChars="0"/>
        <w:outlineLvl w:val="2"/>
        <w:rPr>
          <w:rFonts w:hint="eastAsia" w:asciiTheme="minorEastAsia" w:hAnsiTheme="minorEastAsia" w:eastAsiaTheme="minorEastAsia" w:cstheme="minorEastAsia"/>
          <w:b/>
          <w:bCs w:val="0"/>
          <w:color w:val="auto"/>
          <w:szCs w:val="21"/>
          <w:highlight w:val="none"/>
          <w:lang w:eastAsia="zh-CN"/>
        </w:rPr>
      </w:pPr>
      <w:bookmarkStart w:id="297" w:name="_Toc2341342"/>
      <w:bookmarkStart w:id="298" w:name="_Toc2341749"/>
      <w:bookmarkStart w:id="299" w:name="_Toc875"/>
      <w:r>
        <w:rPr>
          <w:rFonts w:hint="eastAsia" w:asciiTheme="minorEastAsia" w:hAnsiTheme="minorEastAsia" w:eastAsiaTheme="minorEastAsia" w:cstheme="minorEastAsia"/>
          <w:b/>
          <w:bCs w:val="0"/>
          <w:color w:val="auto"/>
          <w:szCs w:val="21"/>
          <w:highlight w:val="none"/>
          <w:lang w:eastAsia="zh-CN"/>
        </w:rPr>
        <w:t>综合评分的计算</w:t>
      </w:r>
      <w:bookmarkEnd w:id="297"/>
      <w:bookmarkEnd w:id="298"/>
      <w:bookmarkEnd w:id="299"/>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lang w:eastAsia="zh-CN"/>
        </w:rPr>
        <w:t>综合评分</w:t>
      </w:r>
      <w:r>
        <w:rPr>
          <w:rFonts w:hint="eastAsia" w:asciiTheme="minorEastAsia" w:hAnsiTheme="minorEastAsia" w:eastAsiaTheme="minorEastAsia" w:cstheme="minorEastAsia"/>
          <w:b w:val="0"/>
          <w:bCs/>
          <w:color w:val="auto"/>
          <w:szCs w:val="21"/>
          <w:lang w:val="en-US" w:eastAsia="zh-CN"/>
        </w:rPr>
        <w:t xml:space="preserve"> </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 xml:space="preserve"> </w:t>
      </w:r>
      <w:r>
        <w:rPr>
          <w:rFonts w:hint="eastAsia" w:asciiTheme="minorEastAsia" w:hAnsiTheme="minorEastAsia" w:eastAsiaTheme="minorEastAsia" w:cstheme="minorEastAsia"/>
          <w:b w:val="0"/>
          <w:bCs/>
          <w:color w:val="auto"/>
          <w:szCs w:val="21"/>
          <w:lang w:eastAsia="zh-CN"/>
        </w:rPr>
        <w:t>技术评分</w:t>
      </w:r>
      <w:r>
        <w:rPr>
          <w:rFonts w:hint="eastAsia" w:asciiTheme="minorEastAsia" w:hAnsiTheme="minorEastAsia" w:eastAsiaTheme="minorEastAsia" w:cstheme="minorEastAsia"/>
          <w:b w:val="0"/>
          <w:bCs/>
          <w:color w:val="auto"/>
          <w:szCs w:val="21"/>
          <w:lang w:val="en-US" w:eastAsia="zh-CN"/>
        </w:rPr>
        <w:t xml:space="preserve"> + </w:t>
      </w:r>
      <w:r>
        <w:rPr>
          <w:rFonts w:hint="eastAsia" w:asciiTheme="minorEastAsia" w:hAnsiTheme="minorEastAsia" w:eastAsiaTheme="minorEastAsia" w:cstheme="minorEastAsia"/>
          <w:b w:val="0"/>
          <w:bCs/>
          <w:color w:val="auto"/>
          <w:szCs w:val="21"/>
          <w:lang w:eastAsia="zh-CN"/>
        </w:rPr>
        <w:t>商务评分</w:t>
      </w:r>
      <w:r>
        <w:rPr>
          <w:rFonts w:hint="eastAsia" w:asciiTheme="minorEastAsia" w:hAnsiTheme="minorEastAsia" w:eastAsiaTheme="minorEastAsia" w:cstheme="minorEastAsia"/>
          <w:b w:val="0"/>
          <w:bCs/>
          <w:color w:val="auto"/>
          <w:szCs w:val="21"/>
          <w:lang w:val="en-US" w:eastAsia="zh-CN"/>
        </w:rPr>
        <w:t xml:space="preserve"> </w:t>
      </w:r>
      <w:r>
        <w:rPr>
          <w:rFonts w:hint="eastAsia" w:asciiTheme="minorEastAsia" w:hAnsiTheme="minorEastAsia" w:eastAsiaTheme="minorEastAsia" w:cstheme="minorEastAsia"/>
          <w:b w:val="0"/>
          <w:bCs/>
          <w:color w:val="auto"/>
          <w:szCs w:val="21"/>
          <w:lang w:eastAsia="zh-CN"/>
        </w:rPr>
        <w:t>+</w:t>
      </w:r>
      <w:r>
        <w:rPr>
          <w:rFonts w:hint="eastAsia" w:asciiTheme="minorEastAsia" w:hAnsiTheme="minorEastAsia" w:eastAsiaTheme="minorEastAsia" w:cstheme="minorEastAsia"/>
          <w:b w:val="0"/>
          <w:bCs/>
          <w:color w:val="auto"/>
          <w:szCs w:val="21"/>
          <w:lang w:val="en-US" w:eastAsia="zh-CN"/>
        </w:rPr>
        <w:t xml:space="preserve"> </w:t>
      </w:r>
      <w:r>
        <w:rPr>
          <w:rFonts w:hint="eastAsia" w:asciiTheme="minorEastAsia" w:hAnsiTheme="minorEastAsia" w:eastAsiaTheme="minorEastAsia" w:cstheme="minorEastAsia"/>
          <w:b w:val="0"/>
          <w:bCs/>
          <w:color w:val="auto"/>
          <w:szCs w:val="21"/>
          <w:lang w:eastAsia="zh-CN"/>
        </w:rPr>
        <w:t>价格评分。</w:t>
      </w:r>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highlight w:val="none"/>
          <w:lang w:eastAsia="zh-CN"/>
        </w:rPr>
      </w:pPr>
      <w:r>
        <w:rPr>
          <w:rFonts w:hint="eastAsia" w:asciiTheme="minorEastAsia" w:hAnsiTheme="minorEastAsia" w:eastAsiaTheme="minorEastAsia" w:cstheme="minorEastAsia"/>
          <w:b w:val="0"/>
          <w:bCs/>
          <w:color w:val="auto"/>
          <w:szCs w:val="21"/>
          <w:lang w:eastAsia="zh-CN"/>
        </w:rPr>
        <w:t>各项评分按四舍五入原则精确到小数点后2位。出现供应商总分数相同的情况时，将综合评分由高到低顺序排列。综合评分相同的，按响应报价由低到高顺序排列；综合评分相同，且响应价格相同的，按</w:t>
      </w:r>
      <w:r>
        <w:rPr>
          <w:rFonts w:hint="eastAsia" w:asciiTheme="minorEastAsia" w:hAnsiTheme="minorEastAsia" w:eastAsiaTheme="minorEastAsia" w:cstheme="minorEastAsia"/>
          <w:b w:val="0"/>
          <w:bCs/>
          <w:color w:val="auto"/>
          <w:szCs w:val="21"/>
          <w:lang w:val="en-US" w:eastAsia="zh-CN"/>
        </w:rPr>
        <w:t>技术</w:t>
      </w:r>
      <w:r>
        <w:rPr>
          <w:rFonts w:hint="eastAsia" w:asciiTheme="minorEastAsia" w:hAnsiTheme="minorEastAsia" w:eastAsiaTheme="minorEastAsia" w:cstheme="minorEastAsia"/>
          <w:b w:val="0"/>
          <w:bCs/>
          <w:color w:val="auto"/>
          <w:szCs w:val="21"/>
          <w:lang w:eastAsia="zh-CN"/>
        </w:rPr>
        <w:t>评分由高到低顺序排列。综合评分相同，且响应报价和</w:t>
      </w:r>
      <w:r>
        <w:rPr>
          <w:rFonts w:hint="eastAsia" w:asciiTheme="minorEastAsia" w:hAnsiTheme="minorEastAsia" w:eastAsiaTheme="minorEastAsia" w:cstheme="minorEastAsia"/>
          <w:b w:val="0"/>
          <w:bCs/>
          <w:color w:val="auto"/>
          <w:szCs w:val="21"/>
          <w:lang w:val="en-US" w:eastAsia="zh-CN"/>
        </w:rPr>
        <w:t>技术</w:t>
      </w:r>
      <w:r>
        <w:rPr>
          <w:rFonts w:hint="eastAsia" w:asciiTheme="minorEastAsia" w:hAnsiTheme="minorEastAsia" w:eastAsiaTheme="minorEastAsia" w:cstheme="minorEastAsia"/>
          <w:b w:val="0"/>
          <w:bCs/>
          <w:color w:val="auto"/>
          <w:szCs w:val="21"/>
          <w:lang w:eastAsia="zh-CN"/>
        </w:rPr>
        <w:t>评分均相同的，按</w:t>
      </w:r>
      <w:r>
        <w:rPr>
          <w:rFonts w:hint="eastAsia" w:asciiTheme="minorEastAsia" w:hAnsiTheme="minorEastAsia" w:eastAsiaTheme="minorEastAsia" w:cstheme="minorEastAsia"/>
          <w:b w:val="0"/>
          <w:bCs/>
          <w:color w:val="auto"/>
          <w:szCs w:val="21"/>
          <w:lang w:val="en-US" w:eastAsia="zh-CN"/>
        </w:rPr>
        <w:t>商务</w:t>
      </w:r>
      <w:r>
        <w:rPr>
          <w:rFonts w:hint="eastAsia" w:asciiTheme="minorEastAsia" w:hAnsiTheme="minorEastAsia" w:eastAsiaTheme="minorEastAsia" w:cstheme="minorEastAsia"/>
          <w:b w:val="0"/>
          <w:bCs/>
          <w:color w:val="auto"/>
          <w:szCs w:val="21"/>
          <w:lang w:eastAsia="zh-CN"/>
        </w:rPr>
        <w:t>评分由高到低顺序排列。综合评分相同，且响应报价、</w:t>
      </w:r>
      <w:r>
        <w:rPr>
          <w:rFonts w:hint="eastAsia" w:asciiTheme="minorEastAsia" w:hAnsiTheme="minorEastAsia" w:eastAsiaTheme="minorEastAsia" w:cstheme="minorEastAsia"/>
          <w:b w:val="0"/>
          <w:bCs/>
          <w:color w:val="auto"/>
          <w:szCs w:val="21"/>
          <w:lang w:val="en-US" w:eastAsia="zh-CN"/>
        </w:rPr>
        <w:t>技术</w:t>
      </w:r>
      <w:r>
        <w:rPr>
          <w:rFonts w:hint="eastAsia" w:asciiTheme="minorEastAsia" w:hAnsiTheme="minorEastAsia" w:eastAsiaTheme="minorEastAsia" w:cstheme="minorEastAsia"/>
          <w:b w:val="0"/>
          <w:bCs/>
          <w:color w:val="auto"/>
          <w:szCs w:val="21"/>
          <w:lang w:eastAsia="zh-CN"/>
        </w:rPr>
        <w:t>和</w:t>
      </w:r>
      <w:r>
        <w:rPr>
          <w:rFonts w:hint="eastAsia" w:asciiTheme="minorEastAsia" w:hAnsiTheme="minorEastAsia" w:eastAsiaTheme="minorEastAsia" w:cstheme="minorEastAsia"/>
          <w:b w:val="0"/>
          <w:bCs/>
          <w:color w:val="auto"/>
          <w:szCs w:val="21"/>
          <w:lang w:val="en-US" w:eastAsia="zh-CN"/>
        </w:rPr>
        <w:t>商务</w:t>
      </w:r>
      <w:r>
        <w:rPr>
          <w:rFonts w:hint="eastAsia" w:asciiTheme="minorEastAsia" w:hAnsiTheme="minorEastAsia" w:eastAsiaTheme="minorEastAsia" w:cstheme="minorEastAsia"/>
          <w:b w:val="0"/>
          <w:bCs/>
          <w:color w:val="auto"/>
          <w:szCs w:val="21"/>
          <w:lang w:eastAsia="zh-CN"/>
        </w:rPr>
        <w:t>评分均相同的，名次由评审小组抽签决定。</w:t>
      </w:r>
    </w:p>
    <w:p>
      <w:pPr>
        <w:numPr>
          <w:ilvl w:val="2"/>
          <w:numId w:val="12"/>
        </w:numPr>
        <w:spacing w:line="360" w:lineRule="auto"/>
        <w:ind w:left="397" w:leftChars="0" w:firstLine="0" w:firstLineChars="0"/>
        <w:outlineLvl w:val="2"/>
        <w:rPr>
          <w:rFonts w:hint="eastAsia" w:asciiTheme="minorEastAsia" w:hAnsiTheme="minorEastAsia" w:eastAsiaTheme="minorEastAsia" w:cstheme="minorEastAsia"/>
          <w:b w:val="0"/>
          <w:bCs w:val="0"/>
          <w:color w:val="auto"/>
          <w:sz w:val="21"/>
          <w:szCs w:val="21"/>
          <w:highlight w:val="none"/>
          <w:lang w:eastAsia="zh-CN"/>
        </w:rPr>
      </w:pPr>
      <w:bookmarkStart w:id="300" w:name="_Toc2341343"/>
      <w:bookmarkStart w:id="301" w:name="_Toc2341750"/>
      <w:bookmarkStart w:id="302" w:name="_Toc21468"/>
      <w:r>
        <w:rPr>
          <w:rFonts w:hint="eastAsia" w:asciiTheme="minorEastAsia" w:hAnsiTheme="minorEastAsia" w:eastAsiaTheme="minorEastAsia" w:cstheme="minorEastAsia"/>
          <w:b/>
          <w:bCs w:val="0"/>
          <w:color w:val="auto"/>
          <w:szCs w:val="21"/>
          <w:highlight w:val="none"/>
          <w:lang w:eastAsia="zh-CN"/>
        </w:rPr>
        <w:t>确定</w:t>
      </w:r>
      <w:bookmarkEnd w:id="300"/>
      <w:bookmarkEnd w:id="301"/>
      <w:bookmarkStart w:id="303" w:name="_Toc23822"/>
      <w:bookmarkStart w:id="304" w:name="_Toc3601"/>
      <w:bookmarkStart w:id="305" w:name="_Toc19636"/>
      <w:r>
        <w:rPr>
          <w:rFonts w:hint="eastAsia" w:asciiTheme="minorEastAsia" w:hAnsiTheme="minorEastAsia" w:eastAsiaTheme="minorEastAsia" w:cstheme="minorEastAsia"/>
          <w:b/>
          <w:bCs w:val="0"/>
          <w:color w:val="auto"/>
          <w:szCs w:val="21"/>
          <w:highlight w:val="none"/>
          <w:lang w:val="en-US" w:eastAsia="zh-CN"/>
        </w:rPr>
        <w:t>中选人</w:t>
      </w:r>
      <w:bookmarkEnd w:id="302"/>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lang w:val="en-US" w:eastAsia="zh-CN"/>
        </w:rPr>
        <w:t>项目采购实施部门</w:t>
      </w:r>
      <w:r>
        <w:rPr>
          <w:rFonts w:hint="eastAsia" w:asciiTheme="minorEastAsia" w:hAnsiTheme="minorEastAsia" w:eastAsiaTheme="minorEastAsia" w:cstheme="minorEastAsia"/>
          <w:b w:val="0"/>
          <w:bCs/>
          <w:color w:val="auto"/>
          <w:szCs w:val="21"/>
          <w:lang w:eastAsia="zh-CN"/>
        </w:rPr>
        <w:t>根据</w:t>
      </w:r>
      <w:r>
        <w:rPr>
          <w:rFonts w:hint="eastAsia" w:asciiTheme="minorEastAsia" w:hAnsiTheme="minorEastAsia" w:eastAsiaTheme="minorEastAsia" w:cstheme="minorEastAsia"/>
          <w:b w:val="0"/>
          <w:bCs/>
          <w:color w:val="auto"/>
          <w:szCs w:val="21"/>
          <w:lang w:val="en-US" w:eastAsia="zh-CN"/>
        </w:rPr>
        <w:t>各响应供应商</w:t>
      </w:r>
      <w:r>
        <w:rPr>
          <w:rFonts w:hint="eastAsia" w:asciiTheme="minorEastAsia" w:hAnsiTheme="minorEastAsia" w:eastAsiaTheme="minorEastAsia" w:cstheme="minorEastAsia"/>
          <w:b w:val="0"/>
          <w:bCs/>
          <w:color w:val="auto"/>
          <w:szCs w:val="21"/>
          <w:lang w:eastAsia="zh-CN"/>
        </w:rPr>
        <w:t>综合评分排名情况，</w:t>
      </w:r>
      <w:r>
        <w:rPr>
          <w:rFonts w:hint="eastAsia" w:asciiTheme="minorEastAsia" w:hAnsiTheme="minorEastAsia" w:eastAsiaTheme="minorEastAsia" w:cstheme="minorEastAsia"/>
          <w:b w:val="0"/>
          <w:bCs/>
          <w:color w:val="auto"/>
          <w:szCs w:val="21"/>
          <w:lang w:val="en-US" w:eastAsia="zh-CN"/>
        </w:rPr>
        <w:t>编写评审报告，根据评审结果</w:t>
      </w:r>
      <w:r>
        <w:rPr>
          <w:rFonts w:hint="eastAsia" w:asciiTheme="minorEastAsia" w:hAnsiTheme="minorEastAsia" w:eastAsiaTheme="minorEastAsia" w:cstheme="minorEastAsia"/>
          <w:b w:val="0"/>
          <w:bCs/>
          <w:color w:val="auto"/>
          <w:szCs w:val="21"/>
          <w:lang w:eastAsia="zh-CN"/>
        </w:rPr>
        <w:t>确定</w:t>
      </w:r>
      <w:r>
        <w:rPr>
          <w:rFonts w:hint="eastAsia" w:asciiTheme="minorEastAsia" w:hAnsiTheme="minorEastAsia" w:eastAsiaTheme="minorEastAsia" w:cstheme="minorEastAsia"/>
          <w:b w:val="0"/>
          <w:bCs/>
          <w:color w:val="auto"/>
          <w:szCs w:val="21"/>
          <w:lang w:val="en-US" w:eastAsia="zh-CN"/>
        </w:rPr>
        <w:t>第一、第二成交</w:t>
      </w:r>
      <w:r>
        <w:rPr>
          <w:rFonts w:hint="eastAsia" w:asciiTheme="minorEastAsia" w:hAnsiTheme="minorEastAsia" w:eastAsiaTheme="minorEastAsia" w:cstheme="minorEastAsia"/>
          <w:b w:val="0"/>
          <w:bCs/>
          <w:color w:val="auto"/>
          <w:szCs w:val="21"/>
          <w:lang w:eastAsia="zh-CN"/>
        </w:rPr>
        <w:t>候选人</w:t>
      </w:r>
      <w:r>
        <w:rPr>
          <w:rFonts w:hint="eastAsia" w:asciiTheme="minorEastAsia" w:hAnsiTheme="minorEastAsia" w:eastAsiaTheme="minorEastAsia" w:cstheme="minorEastAsia"/>
          <w:b w:val="0"/>
          <w:bCs/>
          <w:color w:val="auto"/>
          <w:szCs w:val="21"/>
          <w:lang w:val="en-US" w:eastAsia="zh-CN"/>
        </w:rPr>
        <w:t>等名单，第一成交候选人即为</w:t>
      </w:r>
      <w:r>
        <w:rPr>
          <w:rFonts w:hint="eastAsia" w:asciiTheme="minorEastAsia" w:hAnsiTheme="minorEastAsia" w:eastAsiaTheme="minorEastAsia" w:cstheme="minorEastAsia"/>
          <w:b w:val="0"/>
          <w:bCs/>
          <w:color w:val="auto"/>
          <w:szCs w:val="21"/>
          <w:lang w:eastAsia="zh-CN"/>
        </w:rPr>
        <w:t>中选人。</w:t>
      </w:r>
      <w:bookmarkEnd w:id="303"/>
      <w:bookmarkEnd w:id="304"/>
      <w:bookmarkEnd w:id="305"/>
    </w:p>
    <w:p>
      <w:pPr>
        <w:numPr>
          <w:ilvl w:val="3"/>
          <w:numId w:val="12"/>
        </w:numPr>
        <w:tabs>
          <w:tab w:val="left" w:pos="397"/>
          <w:tab w:val="clear" w:pos="420"/>
        </w:tabs>
        <w:spacing w:line="360" w:lineRule="auto"/>
        <w:ind w:left="0" w:leftChars="0" w:firstLine="397" w:firstLineChars="0"/>
        <w:rPr>
          <w:rFonts w:hint="eastAsia" w:asciiTheme="minorEastAsia" w:hAnsiTheme="minorEastAsia" w:eastAsiaTheme="minorEastAsia" w:cstheme="minorEastAsia"/>
          <w:b w:val="0"/>
          <w:bCs/>
          <w:color w:val="auto"/>
          <w:szCs w:val="21"/>
          <w:lang w:eastAsia="zh-CN"/>
        </w:rPr>
      </w:pPr>
      <w:r>
        <w:rPr>
          <w:rFonts w:hint="eastAsia" w:asciiTheme="minorEastAsia" w:hAnsiTheme="minorEastAsia" w:eastAsiaTheme="minorEastAsia" w:cstheme="minorEastAsia"/>
          <w:b w:val="0"/>
          <w:bCs/>
          <w:color w:val="auto"/>
          <w:szCs w:val="21"/>
          <w:lang w:val="en-US" w:eastAsia="zh-CN"/>
        </w:rPr>
        <w:t>中选人因自身原因被取消成交资格，采购人可重新启动采购或按竞价公告规定顺延推选第二候选人作为中选人。</w:t>
      </w:r>
    </w:p>
    <w:p>
      <w:pPr>
        <w:pStyle w:val="2"/>
        <w:numPr>
          <w:ilvl w:val="0"/>
          <w:numId w:val="0"/>
        </w:numPr>
        <w:rPr>
          <w:rFonts w:hint="eastAsia"/>
          <w:color w:val="auto"/>
          <w:lang w:eastAsia="zh-CN"/>
        </w:rPr>
      </w:pPr>
    </w:p>
    <w:p>
      <w:pPr>
        <w:pStyle w:val="2"/>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   </w:t>
      </w:r>
    </w:p>
    <w:p>
      <w:pPr>
        <w:numPr>
          <w:ilvl w:val="0"/>
          <w:numId w:val="0"/>
        </w:numPr>
        <w:adjustRightInd w:val="0"/>
        <w:snapToGrid w:val="0"/>
        <w:spacing w:beforeLines="50" w:afterLines="50" w:line="360" w:lineRule="auto"/>
        <w:jc w:val="both"/>
        <w:outlineLvl w:val="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br w:type="page"/>
      </w:r>
    </w:p>
    <w:p>
      <w:pPr>
        <w:spacing w:beforeLines="50" w:afterLines="50" w:line="360" w:lineRule="auto"/>
        <w:jc w:val="left"/>
        <w:outlineLvl w:val="1"/>
        <w:rPr>
          <w:rFonts w:hint="eastAsia" w:asciiTheme="minorEastAsia" w:hAnsiTheme="minorEastAsia" w:eastAsiaTheme="minorEastAsia" w:cstheme="minorEastAsia"/>
          <w:color w:val="auto"/>
          <w:sz w:val="28"/>
          <w:szCs w:val="28"/>
        </w:rPr>
      </w:pPr>
      <w:bookmarkStart w:id="306" w:name="_Toc2870"/>
      <w:bookmarkStart w:id="307" w:name="_Toc533236393"/>
      <w:r>
        <w:rPr>
          <w:rFonts w:hint="eastAsia" w:ascii="黑体" w:hAnsi="黑体" w:eastAsia="黑体" w:cs="黑体"/>
          <w:b w:val="0"/>
          <w:bCs w:val="0"/>
          <w:color w:val="auto"/>
          <w:sz w:val="28"/>
          <w:szCs w:val="28"/>
        </w:rPr>
        <w:t>附表一</w:t>
      </w:r>
      <w:bookmarkEnd w:id="306"/>
      <w:r>
        <w:rPr>
          <w:rFonts w:hint="eastAsia" w:ascii="黑体" w:hAnsi="黑体" w:eastAsia="黑体" w:cs="黑体"/>
          <w:b w:val="0"/>
          <w:bCs w:val="0"/>
          <w:color w:val="auto"/>
          <w:sz w:val="28"/>
          <w:szCs w:val="28"/>
        </w:rPr>
        <w:t xml:space="preserve">  </w:t>
      </w:r>
      <w:r>
        <w:rPr>
          <w:rFonts w:hint="eastAsia" w:ascii="黑体" w:hAnsi="黑体" w:eastAsia="黑体" w:cs="黑体"/>
          <w:color w:val="auto"/>
          <w:sz w:val="28"/>
          <w:szCs w:val="28"/>
        </w:rPr>
        <w:t xml:space="preserve"> </w:t>
      </w:r>
      <w:r>
        <w:rPr>
          <w:rFonts w:hint="eastAsia" w:asciiTheme="minorEastAsia" w:hAnsiTheme="minorEastAsia" w:eastAsiaTheme="minorEastAsia" w:cstheme="minorEastAsia"/>
          <w:color w:val="auto"/>
          <w:sz w:val="21"/>
          <w:szCs w:val="21"/>
        </w:rPr>
        <w:t xml:space="preserve">            </w:t>
      </w:r>
    </w:p>
    <w:p>
      <w:pPr>
        <w:spacing w:after="240"/>
        <w:jc w:val="center"/>
        <w:outlineLvl w:val="1"/>
        <w:rPr>
          <w:rFonts w:hint="eastAsia" w:ascii="黑体" w:hAnsi="黑体" w:eastAsia="黑体" w:cs="黑体"/>
          <w:color w:val="auto"/>
          <w:sz w:val="28"/>
          <w:szCs w:val="28"/>
        </w:rPr>
      </w:pPr>
      <w:bookmarkStart w:id="308" w:name="_Toc19667"/>
      <w:r>
        <w:rPr>
          <w:rFonts w:hint="eastAsia" w:ascii="黑体" w:hAnsi="黑体" w:eastAsia="黑体" w:cs="黑体"/>
          <w:color w:val="auto"/>
          <w:sz w:val="28"/>
          <w:szCs w:val="28"/>
        </w:rPr>
        <w:t>资格性、符合性审查表</w:t>
      </w:r>
      <w:bookmarkEnd w:id="307"/>
      <w:bookmarkEnd w:id="308"/>
    </w:p>
    <w:tbl>
      <w:tblPr>
        <w:tblStyle w:val="13"/>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1323"/>
        <w:gridCol w:w="1323"/>
        <w:gridCol w:w="1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245" w:type="dxa"/>
            <w:vMerge w:val="restart"/>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评审内容</w:t>
            </w:r>
          </w:p>
        </w:tc>
        <w:tc>
          <w:tcPr>
            <w:tcW w:w="3969" w:type="dxa"/>
            <w:gridSpan w:val="3"/>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响应人名称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245" w:type="dxa"/>
            <w:vMerge w:val="continue"/>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p>
        </w:tc>
        <w:tc>
          <w:tcPr>
            <w:tcW w:w="1323" w:type="dxa"/>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响应人A</w:t>
            </w:r>
          </w:p>
        </w:tc>
        <w:tc>
          <w:tcPr>
            <w:tcW w:w="1323" w:type="dxa"/>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响应人B</w:t>
            </w:r>
          </w:p>
        </w:tc>
        <w:tc>
          <w:tcPr>
            <w:tcW w:w="1323" w:type="dxa"/>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响应人C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4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具备采购文件中规定响应人资格要求</w:t>
            </w: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24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响应价格唯一，不高于采购人需求规定的最高限价或低于成本价，且能提供相关证明材料的</w:t>
            </w: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24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符合采购文件的签署、盖章要求</w:t>
            </w: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524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按采购文件要求提供法定代表人证明及授权书</w:t>
            </w: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24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符合采购文件响应有效期要求的</w:t>
            </w: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5245" w:type="dxa"/>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满足采购文件中对响应人的指定</w:t>
            </w:r>
            <w:r>
              <w:rPr>
                <w:rFonts w:hint="eastAsia" w:asciiTheme="minorEastAsia" w:hAnsiTheme="minorEastAsia" w:eastAsiaTheme="minorEastAsia" w:cstheme="minorEastAsia"/>
                <w:b w:val="0"/>
                <w:bCs/>
                <w:color w:val="auto"/>
                <w:szCs w:val="21"/>
                <w:lang w:eastAsia="zh-CN"/>
              </w:rPr>
              <w:t>带★号的条款</w:t>
            </w:r>
            <w:r>
              <w:rPr>
                <w:rFonts w:hint="eastAsia" w:asciiTheme="minorEastAsia" w:hAnsiTheme="minorEastAsia" w:eastAsiaTheme="minorEastAsia" w:cstheme="minorEastAsia"/>
                <w:color w:val="auto"/>
                <w:sz w:val="21"/>
                <w:szCs w:val="21"/>
              </w:rPr>
              <w:t>要求，</w:t>
            </w:r>
            <w:r>
              <w:rPr>
                <w:rFonts w:hint="eastAsia" w:asciiTheme="minorEastAsia" w:hAnsiTheme="minorEastAsia" w:eastAsiaTheme="minorEastAsia" w:cstheme="minorEastAsia"/>
                <w:color w:val="auto"/>
                <w:sz w:val="21"/>
                <w:szCs w:val="21"/>
                <w:lang w:eastAsia="zh-CN"/>
              </w:rPr>
              <w:t>其他要求</w:t>
            </w:r>
            <w:r>
              <w:rPr>
                <w:rFonts w:hint="eastAsia" w:asciiTheme="minorEastAsia" w:hAnsiTheme="minorEastAsia" w:eastAsiaTheme="minorEastAsia" w:cstheme="minorEastAsia"/>
                <w:color w:val="auto"/>
                <w:sz w:val="21"/>
                <w:szCs w:val="21"/>
              </w:rPr>
              <w:t>没有重大偏离的</w:t>
            </w: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trPr>
        <w:tc>
          <w:tcPr>
            <w:tcW w:w="5245" w:type="dxa"/>
            <w:vAlign w:val="center"/>
          </w:tcPr>
          <w:p>
            <w:pPr>
              <w:spacing w:after="24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响应资料齐全（包括：响应函、</w:t>
            </w:r>
            <w:r>
              <w:rPr>
                <w:rFonts w:hint="eastAsia" w:asciiTheme="minorEastAsia" w:hAnsiTheme="minorEastAsia" w:eastAsiaTheme="minorEastAsia" w:cstheme="minorEastAsia"/>
                <w:color w:val="auto"/>
                <w:sz w:val="21"/>
                <w:szCs w:val="21"/>
              </w:rPr>
              <w:t xml:space="preserve"> 法定代表人证明及授权书</w:t>
            </w:r>
            <w:r>
              <w:rPr>
                <w:rFonts w:hint="eastAsia" w:asciiTheme="minorEastAsia" w:hAnsiTheme="minorEastAsia" w:eastAsiaTheme="minorEastAsia" w:cstheme="minorEastAsia"/>
                <w:color w:val="auto"/>
                <w:sz w:val="21"/>
                <w:szCs w:val="21"/>
                <w:lang w:eastAsia="zh-CN"/>
              </w:rPr>
              <w:t>、资格声明函、实质性条款响应一览表、同意采购文件条款说明、</w:t>
            </w:r>
            <w:r>
              <w:rPr>
                <w:rFonts w:hint="eastAsia" w:asciiTheme="minorEastAsia" w:hAnsiTheme="minorEastAsia" w:eastAsiaTheme="minorEastAsia" w:cstheme="minorEastAsia"/>
                <w:color w:val="auto"/>
                <w:sz w:val="21"/>
                <w:szCs w:val="21"/>
                <w:lang w:val="en-US" w:eastAsia="zh-CN"/>
              </w:rPr>
              <w:t>货物技术参数响应一览表、货物技术服务方案、2017年至今同类项目业绩情况一览表、拟派本项目负责人及主要人员情况表、与采购人需求差异表</w:t>
            </w: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524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未发现无效响应的其他情形的（见注1）</w:t>
            </w: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c>
          <w:tcPr>
            <w:tcW w:w="1323" w:type="dxa"/>
            <w:vAlign w:val="center"/>
          </w:tcPr>
          <w:p>
            <w:pPr>
              <w:rPr>
                <w:rFonts w:hint="eastAsia" w:asciiTheme="minorEastAsia" w:hAnsiTheme="minorEastAsia" w:eastAsiaTheme="minorEastAsia" w:cstheme="minorEastAsia"/>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45" w:type="dxa"/>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结论</w:t>
            </w:r>
            <w:r>
              <w:rPr>
                <w:rFonts w:hint="eastAsia" w:asciiTheme="minorEastAsia" w:hAnsiTheme="minorEastAsia" w:eastAsiaTheme="minorEastAsia" w:cstheme="minorEastAsia"/>
                <w:b/>
                <w:color w:val="auto"/>
                <w:sz w:val="21"/>
                <w:szCs w:val="21"/>
                <w:lang w:eastAsia="zh-CN"/>
              </w:rPr>
              <w:t>（是否通过）</w:t>
            </w:r>
          </w:p>
        </w:tc>
        <w:tc>
          <w:tcPr>
            <w:tcW w:w="1323" w:type="dxa"/>
            <w:vAlign w:val="center"/>
          </w:tcPr>
          <w:p>
            <w:pPr>
              <w:rPr>
                <w:rFonts w:hint="eastAsia" w:asciiTheme="minorEastAsia" w:hAnsiTheme="minorEastAsia" w:eastAsiaTheme="minorEastAsia" w:cstheme="minorEastAsia"/>
                <w:b/>
                <w:color w:val="auto"/>
                <w:sz w:val="21"/>
                <w:szCs w:val="21"/>
              </w:rPr>
            </w:pPr>
          </w:p>
        </w:tc>
        <w:tc>
          <w:tcPr>
            <w:tcW w:w="1323" w:type="dxa"/>
            <w:vAlign w:val="center"/>
          </w:tcPr>
          <w:p>
            <w:pPr>
              <w:rPr>
                <w:rFonts w:hint="eastAsia" w:asciiTheme="minorEastAsia" w:hAnsiTheme="minorEastAsia" w:eastAsiaTheme="minorEastAsia" w:cstheme="minorEastAsia"/>
                <w:b/>
                <w:color w:val="auto"/>
                <w:sz w:val="21"/>
                <w:szCs w:val="21"/>
              </w:rPr>
            </w:pPr>
          </w:p>
        </w:tc>
        <w:tc>
          <w:tcPr>
            <w:tcW w:w="1323" w:type="dxa"/>
            <w:vAlign w:val="center"/>
          </w:tcPr>
          <w:p>
            <w:pPr>
              <w:rPr>
                <w:rFonts w:hint="eastAsia" w:asciiTheme="minorEastAsia" w:hAnsiTheme="minorEastAsia" w:eastAsiaTheme="minorEastAsia" w:cstheme="minorEastAsia"/>
                <w:b/>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45" w:type="dxa"/>
            <w:vAlign w:val="center"/>
          </w:tcPr>
          <w:p>
            <w:pPr>
              <w:jc w:val="left"/>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评审人签名：</w:t>
            </w:r>
          </w:p>
          <w:p>
            <w:pPr>
              <w:jc w:val="left"/>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日期：</w:t>
            </w:r>
          </w:p>
        </w:tc>
        <w:tc>
          <w:tcPr>
            <w:tcW w:w="3969" w:type="dxa"/>
            <w:gridSpan w:val="3"/>
            <w:vAlign w:val="center"/>
          </w:tcPr>
          <w:p>
            <w:pPr>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lang w:eastAsia="zh-CN"/>
              </w:rPr>
              <w:t>不通过原因：</w:t>
            </w:r>
          </w:p>
        </w:tc>
      </w:tr>
    </w:tbl>
    <w:p>
      <w:pPr>
        <w:spacing w:line="360" w:lineRule="auto"/>
        <w:rPr>
          <w:rFonts w:hint="eastAsia" w:asciiTheme="minorEastAsia" w:hAnsiTheme="minorEastAsia" w:eastAsiaTheme="minorEastAsia" w:cstheme="minorEastAsia"/>
          <w:bCs/>
          <w:color w:val="auto"/>
          <w:sz w:val="21"/>
          <w:szCs w:val="21"/>
        </w:rPr>
      </w:pP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注1：无效响应的其他情形</w:t>
      </w:r>
    </w:p>
    <w:p>
      <w:pPr>
        <w:spacing w:line="360" w:lineRule="auto"/>
        <w:ind w:left="600" w:hanging="525" w:hangingChars="2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（1）评审期间，响应人没有按</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小组的要求提交经授权代表签字的澄清、说明、补正或改变了响应文件的实质性内容的；</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（2）经</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小组认定响应文件提供虚假材料的；</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（3）响应人以他人的名义响应、串通、以行贿手段谋取成交或者以其他弄虚作假方式的；</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（4）响应人对采购人、</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小组及其工作人员施加影响，有碍评审公平、公正的；</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（5）响应文件附有采购人不能接受的条件；</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（6）出现不符合相关法律、法规要求的情况的。</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注2：每位评审人单独填写一张本表。通过请写√</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不通过请写×，并附原因。</w:t>
      </w:r>
    </w:p>
    <w:p>
      <w:pPr>
        <w:pStyle w:val="2"/>
        <w:rPr>
          <w:rFonts w:hint="eastAsia"/>
          <w:color w:val="auto"/>
        </w:rPr>
      </w:pPr>
    </w:p>
    <w:p>
      <w:pPr>
        <w:widowControl/>
        <w:tabs>
          <w:tab w:val="left" w:pos="720"/>
          <w:tab w:val="left" w:pos="1080"/>
        </w:tabs>
        <w:spacing w:line="360" w:lineRule="auto"/>
        <w:rPr>
          <w:rFonts w:ascii="仿宋_GB2312" w:hAnsi="宋体" w:eastAsia="仿宋_GB2312"/>
          <w:color w:val="auto"/>
          <w:sz w:val="28"/>
          <w:szCs w:val="28"/>
        </w:rPr>
      </w:pPr>
    </w:p>
    <w:p>
      <w:pPr>
        <w:spacing w:beforeLines="50" w:afterLines="50" w:line="360" w:lineRule="auto"/>
        <w:jc w:val="left"/>
        <w:outlineLvl w:val="1"/>
        <w:rPr>
          <w:rFonts w:hint="eastAsia" w:asciiTheme="minorEastAsia" w:hAnsiTheme="minorEastAsia" w:eastAsiaTheme="minorEastAsia" w:cstheme="minorEastAsia"/>
          <w:color w:val="auto"/>
          <w:sz w:val="21"/>
          <w:szCs w:val="21"/>
        </w:rPr>
      </w:pPr>
      <w:bookmarkStart w:id="309" w:name="_Toc27629"/>
      <w:bookmarkStart w:id="310" w:name="_Toc463018933"/>
      <w:bookmarkStart w:id="311" w:name="_Toc435514846"/>
      <w:r>
        <w:rPr>
          <w:rFonts w:hint="eastAsia" w:ascii="黑体" w:hAnsi="黑体" w:eastAsia="黑体" w:cs="黑体"/>
          <w:b w:val="0"/>
          <w:bCs w:val="0"/>
          <w:color w:val="auto"/>
          <w:sz w:val="28"/>
          <w:szCs w:val="28"/>
        </w:rPr>
        <w:t>附表二</w:t>
      </w:r>
      <w:bookmarkEnd w:id="309"/>
      <w:r>
        <w:rPr>
          <w:rFonts w:hint="eastAsia" w:ascii="黑体" w:hAnsi="黑体" w:eastAsia="黑体" w:cs="黑体"/>
          <w:b/>
          <w:bCs/>
          <w:color w:val="auto"/>
          <w:sz w:val="28"/>
          <w:szCs w:val="28"/>
        </w:rPr>
        <w:t xml:space="preserve"> </w:t>
      </w: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color w:val="auto"/>
          <w:sz w:val="21"/>
          <w:szCs w:val="21"/>
        </w:rPr>
        <w:t xml:space="preserve">              </w:t>
      </w:r>
    </w:p>
    <w:bookmarkEnd w:id="310"/>
    <w:bookmarkEnd w:id="311"/>
    <w:p>
      <w:pPr>
        <w:spacing w:after="240"/>
        <w:jc w:val="center"/>
        <w:outlineLvl w:val="1"/>
        <w:rPr>
          <w:rFonts w:hint="eastAsia" w:ascii="黑体" w:hAnsi="黑体" w:eastAsia="黑体" w:cs="黑体"/>
          <w:color w:val="auto"/>
          <w:sz w:val="28"/>
          <w:szCs w:val="28"/>
          <w:highlight w:val="none"/>
        </w:rPr>
      </w:pPr>
      <w:bookmarkStart w:id="312" w:name="_Toc20985"/>
      <w:r>
        <w:rPr>
          <w:rFonts w:hint="eastAsia" w:ascii="黑体" w:hAnsi="黑体" w:eastAsia="黑体" w:cs="黑体"/>
          <w:color w:val="auto"/>
          <w:sz w:val="28"/>
          <w:szCs w:val="28"/>
          <w:highlight w:val="none"/>
          <w:lang w:eastAsia="zh-CN"/>
        </w:rPr>
        <w:t>技术</w:t>
      </w:r>
      <w:r>
        <w:rPr>
          <w:rFonts w:hint="eastAsia" w:ascii="黑体" w:hAnsi="黑体" w:eastAsia="黑体" w:cs="黑体"/>
          <w:color w:val="auto"/>
          <w:sz w:val="28"/>
          <w:szCs w:val="28"/>
          <w:highlight w:val="none"/>
          <w:lang w:val="en-US" w:eastAsia="zh-CN"/>
        </w:rPr>
        <w:t>商务</w:t>
      </w:r>
      <w:r>
        <w:rPr>
          <w:rFonts w:hint="eastAsia" w:ascii="黑体" w:hAnsi="黑体" w:eastAsia="黑体" w:cs="黑体"/>
          <w:color w:val="auto"/>
          <w:sz w:val="28"/>
          <w:szCs w:val="28"/>
          <w:highlight w:val="none"/>
        </w:rPr>
        <w:t>部分评分表</w:t>
      </w:r>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65分</w:t>
      </w:r>
      <w:r>
        <w:rPr>
          <w:rFonts w:hint="eastAsia" w:ascii="黑体" w:hAnsi="黑体" w:eastAsia="黑体" w:cs="黑体"/>
          <w:color w:val="auto"/>
          <w:sz w:val="28"/>
          <w:szCs w:val="28"/>
          <w:highlight w:val="none"/>
          <w:lang w:eastAsia="zh-CN"/>
        </w:rPr>
        <w:t>）</w:t>
      </w:r>
      <w:bookmarkEnd w:id="312"/>
    </w:p>
    <w:tbl>
      <w:tblPr>
        <w:tblStyle w:val="13"/>
        <w:tblW w:w="945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7"/>
        <w:gridCol w:w="1243"/>
        <w:gridCol w:w="6579"/>
        <w:gridCol w:w="9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shd w:val="clear" w:color="auto" w:fill="BEBEBE" w:themeFill="background1" w:themeFillShade="BF"/>
            <w:vAlign w:val="center"/>
          </w:tcPr>
          <w:p>
            <w:pPr>
              <w:ind w:left="-78" w:leftChars="-37" w:right="-73" w:rightChars="-35"/>
              <w:jc w:val="center"/>
              <w:rPr>
                <w:rFonts w:ascii="宋体" w:hAnsi="宋体" w:cs="宋体"/>
                <w:b/>
                <w:color w:val="auto"/>
                <w:sz w:val="21"/>
                <w:szCs w:val="21"/>
              </w:rPr>
            </w:pPr>
            <w:bookmarkStart w:id="313" w:name="_Toc533236394"/>
            <w:bookmarkStart w:id="314" w:name="_Toc130180739"/>
            <w:bookmarkStart w:id="315" w:name="_Toc238282340"/>
            <w:bookmarkStart w:id="316" w:name="_Toc130180925"/>
            <w:bookmarkStart w:id="317" w:name="_Toc130180844"/>
            <w:r>
              <w:rPr>
                <w:rFonts w:hint="eastAsia" w:ascii="宋体" w:hAnsi="宋体" w:cs="宋体"/>
                <w:b/>
                <w:color w:val="auto"/>
                <w:sz w:val="21"/>
                <w:szCs w:val="21"/>
              </w:rPr>
              <w:t>序号</w:t>
            </w:r>
          </w:p>
        </w:tc>
        <w:tc>
          <w:tcPr>
            <w:tcW w:w="1243" w:type="dxa"/>
            <w:shd w:val="clear" w:color="auto" w:fill="BEBEBE" w:themeFill="background1" w:themeFillShade="BF"/>
            <w:vAlign w:val="center"/>
          </w:tcPr>
          <w:p>
            <w:pPr>
              <w:ind w:left="-78" w:leftChars="-37" w:right="-73" w:rightChars="-35"/>
              <w:jc w:val="center"/>
              <w:rPr>
                <w:rFonts w:ascii="宋体" w:hAnsi="宋体" w:cs="宋体"/>
                <w:b/>
                <w:color w:val="auto"/>
                <w:sz w:val="21"/>
                <w:szCs w:val="21"/>
              </w:rPr>
            </w:pPr>
            <w:r>
              <w:rPr>
                <w:rFonts w:hint="eastAsia" w:ascii="宋体" w:hAnsi="宋体" w:cs="宋体"/>
                <w:b/>
                <w:color w:val="auto"/>
                <w:sz w:val="21"/>
                <w:szCs w:val="21"/>
              </w:rPr>
              <w:t>评审因素</w:t>
            </w:r>
          </w:p>
        </w:tc>
        <w:tc>
          <w:tcPr>
            <w:tcW w:w="6579" w:type="dxa"/>
            <w:shd w:val="clear" w:color="auto" w:fill="BEBEBE" w:themeFill="background1" w:themeFillShade="BF"/>
            <w:vAlign w:val="center"/>
          </w:tcPr>
          <w:p>
            <w:pPr>
              <w:ind w:left="-78" w:leftChars="-37" w:right="-73" w:rightChars="-35"/>
              <w:jc w:val="center"/>
              <w:rPr>
                <w:rFonts w:ascii="宋体" w:hAnsi="宋体" w:cs="宋体"/>
                <w:b/>
                <w:color w:val="auto"/>
                <w:sz w:val="21"/>
                <w:szCs w:val="21"/>
              </w:rPr>
            </w:pPr>
            <w:r>
              <w:rPr>
                <w:rFonts w:hint="eastAsia" w:ascii="宋体" w:hAnsi="宋体" w:cs="宋体"/>
                <w:b/>
                <w:color w:val="auto"/>
                <w:sz w:val="21"/>
                <w:szCs w:val="21"/>
              </w:rPr>
              <w:t>评分细则</w:t>
            </w:r>
          </w:p>
        </w:tc>
        <w:tc>
          <w:tcPr>
            <w:tcW w:w="919" w:type="dxa"/>
            <w:tcBorders>
              <w:left w:val="single" w:color="auto" w:sz="4" w:space="0"/>
            </w:tcBorders>
            <w:shd w:val="clear" w:color="auto" w:fill="BEBEBE" w:themeFill="background1" w:themeFillShade="BF"/>
            <w:vAlign w:val="center"/>
          </w:tcPr>
          <w:p>
            <w:pPr>
              <w:ind w:left="-78" w:leftChars="-37" w:right="-73" w:rightChars="-35"/>
              <w:jc w:val="center"/>
              <w:rPr>
                <w:rFonts w:ascii="宋体" w:hAnsi="宋体" w:cs="宋体"/>
                <w:b/>
                <w:color w:val="auto"/>
                <w:sz w:val="21"/>
                <w:szCs w:val="21"/>
              </w:rPr>
            </w:pPr>
            <w:r>
              <w:rPr>
                <w:rFonts w:hint="eastAsia" w:ascii="宋体" w:hAnsi="宋体" w:cs="宋体"/>
                <w:b/>
                <w:color w:val="auto"/>
                <w:sz w:val="21"/>
                <w:szCs w:val="21"/>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2" w:hRule="atLeast"/>
        </w:trPr>
        <w:tc>
          <w:tcPr>
            <w:tcW w:w="717" w:type="dxa"/>
            <w:vAlign w:val="center"/>
          </w:tcPr>
          <w:p>
            <w:pPr>
              <w:ind w:left="-78" w:leftChars="-37" w:right="-73" w:rightChars="-35"/>
              <w:jc w:val="center"/>
              <w:rPr>
                <w:rFonts w:hint="eastAsia" w:ascii="宋体" w:hAnsi="宋体" w:cs="宋体"/>
                <w:b/>
                <w:color w:val="auto"/>
                <w:sz w:val="21"/>
                <w:szCs w:val="21"/>
              </w:rPr>
            </w:pPr>
            <w:r>
              <w:rPr>
                <w:rFonts w:hint="eastAsia" w:ascii="宋体" w:hAnsi="宋体" w:cs="宋体"/>
                <w:color w:val="auto"/>
                <w:sz w:val="21"/>
                <w:szCs w:val="21"/>
              </w:rPr>
              <w:t>一</w:t>
            </w:r>
          </w:p>
        </w:tc>
        <w:tc>
          <w:tcPr>
            <w:tcW w:w="8741" w:type="dxa"/>
            <w:gridSpan w:val="3"/>
            <w:vAlign w:val="center"/>
          </w:tcPr>
          <w:p>
            <w:pPr>
              <w:ind w:left="-78" w:leftChars="-37" w:right="-73" w:rightChars="-35"/>
              <w:jc w:val="center"/>
              <w:rPr>
                <w:rFonts w:hint="eastAsia" w:ascii="宋体" w:hAnsi="宋体" w:cs="宋体"/>
                <w:b/>
                <w:color w:val="auto"/>
                <w:sz w:val="21"/>
                <w:szCs w:val="21"/>
              </w:rPr>
            </w:pPr>
            <w:r>
              <w:rPr>
                <w:rFonts w:hint="eastAsia" w:ascii="宋体" w:hAnsi="宋体"/>
                <w:b/>
                <w:color w:val="auto"/>
                <w:sz w:val="21"/>
                <w:szCs w:val="21"/>
                <w:lang w:val="en-US" w:eastAsia="zh-CN"/>
              </w:rPr>
              <w:t>技术</w:t>
            </w:r>
            <w:r>
              <w:rPr>
                <w:rFonts w:hint="eastAsia" w:ascii="宋体" w:hAnsi="宋体"/>
                <w:b/>
                <w:color w:val="auto"/>
                <w:sz w:val="21"/>
                <w:szCs w:val="21"/>
              </w:rPr>
              <w:t>部分</w:t>
            </w:r>
            <w:r>
              <w:rPr>
                <w:rFonts w:hint="eastAsia" w:ascii="宋体" w:hAnsi="宋体"/>
                <w:b/>
                <w:color w:val="auto"/>
                <w:sz w:val="21"/>
                <w:szCs w:val="21"/>
                <w:lang w:val="en-US" w:eastAsia="zh-CN"/>
              </w:rPr>
              <w:t xml:space="preserve"> </w:t>
            </w:r>
            <w:r>
              <w:rPr>
                <w:rFonts w:hint="eastAsia" w:ascii="宋体" w:hAnsi="宋体"/>
                <w:b/>
                <w:color w:val="auto"/>
                <w:sz w:val="21"/>
                <w:szCs w:val="21"/>
              </w:rPr>
              <w:t>(合计</w:t>
            </w:r>
            <w:r>
              <w:rPr>
                <w:rFonts w:hint="eastAsia" w:ascii="宋体" w:hAnsi="宋体"/>
                <w:b/>
                <w:color w:val="auto"/>
                <w:sz w:val="21"/>
                <w:szCs w:val="21"/>
                <w:lang w:val="en-US" w:eastAsia="zh-CN"/>
              </w:rPr>
              <w:t>45</w:t>
            </w:r>
            <w:r>
              <w:rPr>
                <w:rFonts w:hint="eastAsia" w:ascii="宋体" w:hAnsi="宋体"/>
                <w:b/>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16"/>
              <w:numPr>
                <w:ilvl w:val="0"/>
                <w:numId w:val="14"/>
              </w:numPr>
              <w:autoSpaceDE/>
              <w:autoSpaceDN/>
              <w:adjustRightInd/>
              <w:ind w:firstLineChars="0"/>
              <w:jc w:val="center"/>
              <w:rPr>
                <w:rFonts w:ascii="宋体" w:hAnsi="宋体"/>
                <w:color w:val="auto"/>
                <w:sz w:val="21"/>
                <w:szCs w:val="21"/>
              </w:rPr>
            </w:pPr>
          </w:p>
        </w:tc>
        <w:tc>
          <w:tcPr>
            <w:tcW w:w="1243" w:type="dxa"/>
            <w:vAlign w:val="center"/>
          </w:tcPr>
          <w:p>
            <w:pPr>
              <w:snapToGrid w:val="0"/>
              <w:ind w:left="-63" w:leftChars="-30" w:right="-88" w:rightChars="-42"/>
              <w:jc w:val="center"/>
              <w:rPr>
                <w:rFonts w:ascii="宋体" w:hAnsi="宋体" w:cs="宋体"/>
                <w:color w:val="auto"/>
                <w:sz w:val="21"/>
                <w:szCs w:val="21"/>
              </w:rPr>
            </w:pPr>
            <w:r>
              <w:rPr>
                <w:rFonts w:hint="eastAsia" w:asciiTheme="minorEastAsia" w:hAnsiTheme="minorEastAsia" w:eastAsiaTheme="minorEastAsia" w:cstheme="minorEastAsia"/>
                <w:color w:val="auto"/>
                <w:sz w:val="21"/>
                <w:szCs w:val="21"/>
              </w:rPr>
              <w:t>技术参数响应</w:t>
            </w:r>
          </w:p>
        </w:tc>
        <w:tc>
          <w:tcPr>
            <w:tcW w:w="6579" w:type="dxa"/>
            <w:vAlign w:val="center"/>
          </w:tcPr>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考查各投标人投标产品的技术参数响应程度（要求提供证明材料的投标时必须提供，不提供或提供不全的作负偏离处理）。</w:t>
            </w:r>
          </w:p>
          <w:p>
            <w:pPr>
              <w:widowControl/>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完全满足要求得30分；</w:t>
            </w:r>
          </w:p>
          <w:p>
            <w:pPr>
              <w:widowControl/>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▲类别项目每有1项不满足扣3分，其他项类目每有1项不满足扣1分，扣完为止。</w:t>
            </w:r>
          </w:p>
          <w:p>
            <w:pPr>
              <w:snapToGrid w:val="0"/>
              <w:ind w:right="-88" w:rightChars="-42"/>
              <w:rPr>
                <w:rFonts w:ascii="宋体" w:hAnsi="宋体"/>
                <w:color w:val="auto"/>
                <w:sz w:val="21"/>
                <w:szCs w:val="21"/>
              </w:rPr>
            </w:pPr>
            <w:r>
              <w:rPr>
                <w:rFonts w:hint="eastAsia" w:asciiTheme="minorEastAsia" w:hAnsiTheme="minorEastAsia" w:eastAsiaTheme="minorEastAsia" w:cstheme="minorEastAsia"/>
                <w:color w:val="auto"/>
                <w:sz w:val="21"/>
                <w:szCs w:val="21"/>
              </w:rPr>
              <w:t>需提供产品彩页或官方网站截图</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原厂针对该项目设备参数点对点参数响应表。</w:t>
            </w:r>
          </w:p>
        </w:tc>
        <w:tc>
          <w:tcPr>
            <w:tcW w:w="919" w:type="dxa"/>
            <w:tcBorders>
              <w:left w:val="single" w:color="auto" w:sz="4" w:space="0"/>
            </w:tcBorders>
            <w:vAlign w:val="center"/>
          </w:tcPr>
          <w:p>
            <w:pPr>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16"/>
              <w:numPr>
                <w:ilvl w:val="0"/>
                <w:numId w:val="14"/>
              </w:numPr>
              <w:autoSpaceDE/>
              <w:autoSpaceDN/>
              <w:adjustRightInd/>
              <w:ind w:firstLineChars="0"/>
              <w:jc w:val="center"/>
              <w:rPr>
                <w:rFonts w:ascii="宋体" w:hAnsi="宋体"/>
                <w:color w:val="auto"/>
                <w:sz w:val="21"/>
                <w:szCs w:val="21"/>
              </w:rPr>
            </w:pPr>
          </w:p>
        </w:tc>
        <w:tc>
          <w:tcPr>
            <w:tcW w:w="1243" w:type="dxa"/>
            <w:textDirection w:val="lrTb"/>
            <w:vAlign w:val="center"/>
          </w:tcPr>
          <w:p>
            <w:pPr>
              <w:spacing w:line="360" w:lineRule="auto"/>
              <w:jc w:val="center"/>
              <w:rPr>
                <w:rFonts w:ascii="宋体" w:hAnsi="宋体"/>
                <w:bCs/>
                <w:color w:val="auto"/>
                <w:sz w:val="21"/>
                <w:szCs w:val="21"/>
              </w:rPr>
            </w:pPr>
            <w:r>
              <w:rPr>
                <w:rFonts w:hint="eastAsia" w:asciiTheme="minorEastAsia" w:hAnsiTheme="minorEastAsia" w:eastAsiaTheme="minorEastAsia" w:cstheme="minorEastAsia"/>
                <w:color w:val="auto"/>
                <w:sz w:val="21"/>
                <w:szCs w:val="21"/>
              </w:rPr>
              <w:t>实施方案</w:t>
            </w:r>
          </w:p>
        </w:tc>
        <w:tc>
          <w:tcPr>
            <w:tcW w:w="6579" w:type="dxa"/>
            <w:textDirection w:val="lrTb"/>
            <w:vAlign w:val="center"/>
          </w:tcPr>
          <w:p>
            <w:pPr>
              <w:pStyle w:val="22"/>
              <w:adjustRightInd/>
              <w:spacing w:line="360" w:lineRule="auto"/>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综合考查投标人项目实施方案（设备的安装调试、测试检验、工期精度计划、培训方案及验收方案等）：</w:t>
            </w:r>
          </w:p>
          <w:p>
            <w:pPr>
              <w:pStyle w:val="22"/>
              <w:adjustRightInd/>
              <w:spacing w:line="360" w:lineRule="auto"/>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优：项目实施方案全面细致，设备安装及设备调试可行，描述完善，完全满足且优于用户需求，得 5 分；</w:t>
            </w:r>
          </w:p>
          <w:p>
            <w:pPr>
              <w:pStyle w:val="22"/>
              <w:adjustRightInd/>
              <w:spacing w:line="360" w:lineRule="auto"/>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良：项目实施方案完整，设备安装及设备调试可行，基本满足用户各业务系统上线需求，得 3</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分；</w:t>
            </w:r>
          </w:p>
          <w:p>
            <w:pPr>
              <w:widowControl/>
              <w:spacing w:line="360" w:lineRule="auto"/>
              <w:jc w:val="left"/>
              <w:rPr>
                <w:rFonts w:ascii="宋体" w:hAnsi="宋体"/>
                <w:color w:val="auto"/>
                <w:sz w:val="21"/>
                <w:szCs w:val="21"/>
              </w:rPr>
            </w:pPr>
            <w:r>
              <w:rPr>
                <w:rFonts w:hint="eastAsia" w:asciiTheme="minorEastAsia" w:hAnsiTheme="minorEastAsia" w:eastAsiaTheme="minorEastAsia" w:cstheme="minorEastAsia"/>
                <w:color w:val="auto"/>
                <w:kern w:val="2"/>
                <w:sz w:val="21"/>
                <w:szCs w:val="21"/>
              </w:rPr>
              <w:t>一般：项目实施方案基本完整，设备安装及设备升级调试不能完全满足用户各业务系统上线需求，得 1 分。</w:t>
            </w:r>
          </w:p>
        </w:tc>
        <w:tc>
          <w:tcPr>
            <w:tcW w:w="919" w:type="dxa"/>
            <w:tcBorders>
              <w:left w:val="single" w:color="auto" w:sz="4" w:space="0"/>
            </w:tcBorders>
            <w:textDirection w:val="lrTb"/>
            <w:vAlign w:val="center"/>
          </w:tcPr>
          <w:p>
            <w:pPr>
              <w:spacing w:line="360" w:lineRule="auto"/>
              <w:jc w:val="center"/>
              <w:rPr>
                <w:rFonts w:ascii="宋体" w:hAnsi="宋体"/>
                <w:color w:val="auto"/>
                <w:sz w:val="21"/>
                <w:szCs w:val="21"/>
              </w:rPr>
            </w:pPr>
            <w:r>
              <w:rPr>
                <w:rFonts w:hint="eastAsia" w:asciiTheme="minorEastAsia" w:hAnsiTheme="minorEastAsia" w:eastAsiaTheme="minorEastAsia" w:cstheme="minorEastAsia"/>
                <w:color w:val="auto"/>
                <w:sz w:val="21"/>
                <w:szCs w:val="21"/>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16"/>
              <w:numPr>
                <w:ilvl w:val="0"/>
                <w:numId w:val="14"/>
              </w:numPr>
              <w:autoSpaceDE/>
              <w:autoSpaceDN/>
              <w:adjustRightInd/>
              <w:ind w:firstLineChars="0"/>
              <w:jc w:val="both"/>
              <w:rPr>
                <w:rFonts w:ascii="宋体" w:hAnsi="宋体"/>
                <w:color w:val="auto"/>
                <w:sz w:val="21"/>
                <w:szCs w:val="21"/>
              </w:rPr>
            </w:pPr>
          </w:p>
        </w:tc>
        <w:tc>
          <w:tcPr>
            <w:tcW w:w="1243" w:type="dxa"/>
            <w:textDirection w:val="lrTb"/>
            <w:vAlign w:val="center"/>
          </w:tcPr>
          <w:p>
            <w:pPr>
              <w:spacing w:line="360" w:lineRule="auto"/>
              <w:jc w:val="center"/>
              <w:rPr>
                <w:rFonts w:hint="eastAsia" w:ascii="宋体" w:hAnsi="宋体"/>
                <w:color w:val="auto"/>
                <w:sz w:val="21"/>
                <w:szCs w:val="21"/>
              </w:rPr>
            </w:pPr>
            <w:r>
              <w:rPr>
                <w:rFonts w:hint="eastAsia" w:asciiTheme="minorEastAsia" w:hAnsiTheme="minorEastAsia" w:eastAsiaTheme="minorEastAsia" w:cstheme="minorEastAsia"/>
                <w:color w:val="auto"/>
                <w:sz w:val="21"/>
                <w:szCs w:val="21"/>
              </w:rPr>
              <w:t>服务器产品成熟度</w:t>
            </w:r>
          </w:p>
        </w:tc>
        <w:tc>
          <w:tcPr>
            <w:tcW w:w="6579" w:type="dxa"/>
            <w:textDirection w:val="lrTb"/>
            <w:vAlign w:val="center"/>
          </w:tcPr>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所投产品需为国际著名厂商产品，根据</w:t>
            </w:r>
            <w:r>
              <w:rPr>
                <w:rFonts w:hint="eastAsia" w:asciiTheme="minorEastAsia" w:hAnsiTheme="minorEastAsia" w:eastAsiaTheme="minorEastAsia" w:cstheme="minorEastAsia"/>
                <w:color w:val="auto"/>
                <w:sz w:val="21"/>
                <w:szCs w:val="21"/>
              </w:rPr>
              <w:t>投标人所投品牌</w:t>
            </w:r>
            <w:r>
              <w:rPr>
                <w:rFonts w:hint="eastAsia" w:asciiTheme="minorEastAsia" w:hAnsiTheme="minorEastAsia" w:cstheme="minorEastAsia"/>
                <w:color w:val="auto"/>
                <w:sz w:val="21"/>
                <w:szCs w:val="21"/>
                <w:lang w:val="en-US" w:eastAsia="zh-CN"/>
              </w:rPr>
              <w:t>IDC报告</w:t>
            </w:r>
            <w:r>
              <w:rPr>
                <w:rFonts w:hint="eastAsia" w:asciiTheme="minorEastAsia" w:hAnsiTheme="minorEastAsia" w:eastAsiaTheme="minorEastAsia" w:cstheme="minorEastAsia"/>
                <w:color w:val="auto"/>
                <w:sz w:val="21"/>
                <w:szCs w:val="21"/>
              </w:rPr>
              <w:t>2018年全球X86服务器市场</w:t>
            </w:r>
            <w:r>
              <w:rPr>
                <w:rFonts w:hint="eastAsia" w:asciiTheme="minorEastAsia" w:hAnsiTheme="minorEastAsia" w:cstheme="minorEastAsia"/>
                <w:color w:val="auto"/>
                <w:sz w:val="21"/>
                <w:szCs w:val="21"/>
                <w:lang w:val="en-US" w:eastAsia="zh-CN"/>
              </w:rPr>
              <w:t>按</w:t>
            </w:r>
            <w:r>
              <w:rPr>
                <w:rFonts w:hint="eastAsia" w:asciiTheme="minorEastAsia" w:hAnsiTheme="minorEastAsia" w:eastAsiaTheme="minorEastAsia" w:cstheme="minorEastAsia"/>
                <w:color w:val="auto"/>
                <w:sz w:val="21"/>
                <w:szCs w:val="21"/>
              </w:rPr>
              <w:t>出货量最新排名情况进行给分，第一名5分、第二名3分、第三名到第五名1分，其余不得分。</w:t>
            </w:r>
          </w:p>
          <w:p>
            <w:pPr>
              <w:widowControl/>
              <w:spacing w:line="360" w:lineRule="auto"/>
              <w:jc w:val="left"/>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rPr>
              <w:t>投标人需出具 IDC 数据引用授权书。</w:t>
            </w:r>
          </w:p>
        </w:tc>
        <w:tc>
          <w:tcPr>
            <w:tcW w:w="919" w:type="dxa"/>
            <w:tcBorders>
              <w:left w:val="single" w:color="auto" w:sz="4" w:space="0"/>
            </w:tcBorders>
            <w:textDirection w:val="lrTb"/>
            <w:vAlign w:val="center"/>
          </w:tcPr>
          <w:p>
            <w:pPr>
              <w:spacing w:line="360" w:lineRule="auto"/>
              <w:jc w:val="center"/>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16"/>
              <w:numPr>
                <w:ilvl w:val="0"/>
                <w:numId w:val="14"/>
              </w:numPr>
              <w:autoSpaceDE/>
              <w:autoSpaceDN/>
              <w:adjustRightInd/>
              <w:ind w:firstLineChars="0"/>
              <w:jc w:val="both"/>
              <w:rPr>
                <w:rFonts w:ascii="宋体" w:hAnsi="宋体"/>
                <w:color w:val="auto"/>
                <w:sz w:val="21"/>
                <w:szCs w:val="21"/>
              </w:rPr>
            </w:pPr>
          </w:p>
        </w:tc>
        <w:tc>
          <w:tcPr>
            <w:tcW w:w="1243" w:type="dxa"/>
            <w:textDirection w:val="lrTb"/>
            <w:vAlign w:val="center"/>
          </w:tcPr>
          <w:p>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存储产品成熟度</w:t>
            </w:r>
          </w:p>
        </w:tc>
        <w:tc>
          <w:tcPr>
            <w:tcW w:w="6579" w:type="dxa"/>
            <w:textDirection w:val="lrTb"/>
            <w:vAlign w:val="center"/>
          </w:tcPr>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根据投标人所投品牌2018 年度全球企业级外部存储市场销售额IDC 排名情况进行给分，第一名5分、第二名3分、第三名到第五名1分，其余不得分；</w:t>
            </w:r>
          </w:p>
          <w:p>
            <w:pPr>
              <w:widowControl/>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投标人需出具 IDC 数据引用授权书。</w:t>
            </w:r>
          </w:p>
        </w:tc>
        <w:tc>
          <w:tcPr>
            <w:tcW w:w="919" w:type="dxa"/>
            <w:tcBorders>
              <w:left w:val="single" w:color="auto" w:sz="4" w:space="0"/>
            </w:tcBorders>
            <w:textDirection w:val="lrTb"/>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8" w:hRule="atLeast"/>
        </w:trPr>
        <w:tc>
          <w:tcPr>
            <w:tcW w:w="717" w:type="dxa"/>
            <w:vAlign w:val="center"/>
          </w:tcPr>
          <w:p>
            <w:pPr>
              <w:pStyle w:val="16"/>
              <w:autoSpaceDE/>
              <w:autoSpaceDN/>
              <w:adjustRightInd/>
              <w:ind w:firstLine="0" w:firstLineChars="0"/>
              <w:rPr>
                <w:rFonts w:ascii="宋体" w:hAnsi="宋体"/>
                <w:color w:val="auto"/>
                <w:sz w:val="21"/>
                <w:szCs w:val="21"/>
              </w:rPr>
            </w:pPr>
            <w:r>
              <w:rPr>
                <w:rFonts w:hint="eastAsia" w:ascii="宋体" w:hAnsi="宋体"/>
                <w:b/>
                <w:color w:val="auto"/>
                <w:sz w:val="21"/>
                <w:szCs w:val="21"/>
              </w:rPr>
              <w:t>二</w:t>
            </w:r>
          </w:p>
        </w:tc>
        <w:tc>
          <w:tcPr>
            <w:tcW w:w="8741" w:type="dxa"/>
            <w:gridSpan w:val="3"/>
            <w:vAlign w:val="center"/>
          </w:tcPr>
          <w:p>
            <w:pPr>
              <w:jc w:val="center"/>
              <w:rPr>
                <w:rFonts w:ascii="宋体" w:hAnsi="宋体"/>
                <w:color w:val="auto"/>
                <w:sz w:val="21"/>
                <w:szCs w:val="21"/>
              </w:rPr>
            </w:pPr>
            <w:r>
              <w:rPr>
                <w:rFonts w:hint="eastAsia" w:ascii="宋体" w:hAnsi="宋体"/>
                <w:b/>
                <w:color w:val="auto"/>
                <w:sz w:val="21"/>
                <w:szCs w:val="21"/>
                <w:lang w:val="en-US" w:eastAsia="zh-CN"/>
              </w:rPr>
              <w:t>商务</w:t>
            </w:r>
            <w:r>
              <w:rPr>
                <w:rFonts w:hint="eastAsia" w:ascii="宋体" w:hAnsi="宋体"/>
                <w:b/>
                <w:color w:val="auto"/>
                <w:sz w:val="21"/>
                <w:szCs w:val="21"/>
              </w:rPr>
              <w:t>部分</w:t>
            </w:r>
            <w:r>
              <w:rPr>
                <w:rFonts w:hint="eastAsia" w:ascii="宋体" w:hAnsi="宋体"/>
                <w:b/>
                <w:color w:val="auto"/>
                <w:sz w:val="21"/>
                <w:szCs w:val="21"/>
                <w:lang w:val="en-US" w:eastAsia="zh-CN"/>
              </w:rPr>
              <w:t xml:space="preserve"> </w:t>
            </w:r>
            <w:r>
              <w:rPr>
                <w:rFonts w:hint="eastAsia" w:ascii="宋体" w:hAnsi="宋体"/>
                <w:b/>
                <w:bCs/>
                <w:color w:val="auto"/>
                <w:sz w:val="21"/>
                <w:szCs w:val="21"/>
              </w:rPr>
              <w:t>(合计</w:t>
            </w:r>
            <w:r>
              <w:rPr>
                <w:rFonts w:hint="eastAsia" w:ascii="宋体" w:hAnsi="宋体"/>
                <w:b/>
                <w:bCs/>
                <w:color w:val="auto"/>
                <w:sz w:val="21"/>
                <w:szCs w:val="21"/>
                <w:lang w:val="en-US" w:eastAsia="zh-CN"/>
              </w:rPr>
              <w:t>2</w:t>
            </w:r>
            <w:r>
              <w:rPr>
                <w:rFonts w:hint="eastAsia" w:ascii="宋体" w:hAnsi="宋体"/>
                <w:b/>
                <w:bCs/>
                <w:color w:val="auto"/>
                <w:sz w:val="21"/>
                <w:szCs w:val="21"/>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2" w:hRule="atLeast"/>
        </w:trPr>
        <w:tc>
          <w:tcPr>
            <w:tcW w:w="717" w:type="dxa"/>
            <w:tcBorders>
              <w:bottom w:val="single" w:color="auto" w:sz="4" w:space="0"/>
            </w:tcBorders>
            <w:vAlign w:val="center"/>
          </w:tcPr>
          <w:p>
            <w:pPr>
              <w:pStyle w:val="16"/>
              <w:numPr>
                <w:ilvl w:val="0"/>
                <w:numId w:val="15"/>
              </w:numPr>
              <w:autoSpaceDE/>
              <w:autoSpaceDN/>
              <w:adjustRightInd/>
              <w:ind w:firstLineChars="0"/>
              <w:jc w:val="center"/>
              <w:rPr>
                <w:rFonts w:ascii="宋体" w:hAnsi="宋体"/>
                <w:color w:val="auto"/>
                <w:sz w:val="21"/>
                <w:szCs w:val="21"/>
              </w:rPr>
            </w:pPr>
          </w:p>
        </w:tc>
        <w:tc>
          <w:tcPr>
            <w:tcW w:w="1243" w:type="dxa"/>
            <w:textDirection w:val="lrTb"/>
            <w:vAlign w:val="center"/>
          </w:tcPr>
          <w:p>
            <w:pPr>
              <w:spacing w:line="360" w:lineRule="auto"/>
              <w:jc w:val="center"/>
              <w:rPr>
                <w:rFonts w:ascii="宋体" w:hAnsi="宋体" w:cs="宋体"/>
                <w:color w:val="auto"/>
                <w:sz w:val="21"/>
                <w:szCs w:val="21"/>
              </w:rPr>
            </w:pPr>
            <w:r>
              <w:rPr>
                <w:rFonts w:hint="eastAsia" w:asciiTheme="minorEastAsia" w:hAnsiTheme="minorEastAsia" w:eastAsiaTheme="minorEastAsia" w:cstheme="minorEastAsia"/>
                <w:color w:val="auto"/>
                <w:sz w:val="21"/>
                <w:szCs w:val="21"/>
              </w:rPr>
              <w:t>投标人资质情况</w:t>
            </w:r>
          </w:p>
        </w:tc>
        <w:tc>
          <w:tcPr>
            <w:tcW w:w="6579" w:type="dxa"/>
            <w:textDirection w:val="lrTb"/>
            <w:vAlign w:val="center"/>
          </w:tcPr>
          <w:p>
            <w:pPr>
              <w:spacing w:line="360" w:lineRule="auto"/>
              <w:jc w:val="left"/>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21"/>
                <w:szCs w:val="21"/>
              </w:rPr>
              <w:t>具备职业健康安全管理体系认证书、环境管理体系认证书、质量管理体系认证书、计算机软件著作权证书 （细分多项认证证书）每具备一证书得2 分，最高得12 分。</w:t>
            </w:r>
          </w:p>
        </w:tc>
        <w:tc>
          <w:tcPr>
            <w:tcW w:w="919" w:type="dxa"/>
            <w:tcBorders>
              <w:left w:val="single" w:color="auto" w:sz="4" w:space="0"/>
            </w:tcBorders>
            <w:textDirection w:val="lrTb"/>
            <w:vAlign w:val="center"/>
          </w:tcPr>
          <w:p>
            <w:pPr>
              <w:spacing w:line="360" w:lineRule="auto"/>
              <w:jc w:val="center"/>
              <w:rPr>
                <w:rFonts w:hint="eastAsia" w:ascii="宋体" w:hAnsi="宋体" w:eastAsia="宋体" w:cs="宋体"/>
                <w:color w:val="auto"/>
                <w:sz w:val="21"/>
                <w:szCs w:val="21"/>
                <w:lang w:eastAsia="zh-CN"/>
              </w:rPr>
            </w:pPr>
            <w:r>
              <w:rPr>
                <w:rFonts w:hint="eastAsia" w:asciiTheme="minorEastAsia" w:hAnsiTheme="minorEastAsia" w:eastAsiaTheme="minorEastAsia" w:cstheme="minorEastAsia"/>
                <w:color w:val="auto"/>
                <w:sz w:val="21"/>
                <w:szCs w:val="21"/>
                <w:highlight w:val="none"/>
                <w:lang w:val="en-US" w:eastAsia="zh-CN"/>
              </w:rPr>
              <w:t>12分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tcBorders>
              <w:top w:val="single" w:color="auto" w:sz="4" w:space="0"/>
              <w:bottom w:val="single" w:color="auto" w:sz="4" w:space="0"/>
            </w:tcBorders>
            <w:vAlign w:val="center"/>
          </w:tcPr>
          <w:p>
            <w:pPr>
              <w:pStyle w:val="16"/>
              <w:numPr>
                <w:ilvl w:val="0"/>
                <w:numId w:val="15"/>
              </w:numPr>
              <w:autoSpaceDE/>
              <w:autoSpaceDN/>
              <w:adjustRightInd/>
              <w:ind w:firstLineChars="0"/>
              <w:jc w:val="center"/>
              <w:rPr>
                <w:rFonts w:ascii="宋体" w:hAnsi="宋体"/>
                <w:color w:val="auto"/>
                <w:sz w:val="21"/>
                <w:szCs w:val="21"/>
              </w:rPr>
            </w:pPr>
          </w:p>
        </w:tc>
        <w:tc>
          <w:tcPr>
            <w:tcW w:w="1243" w:type="dxa"/>
            <w:textDirection w:val="lrTb"/>
            <w:vAlign w:val="center"/>
          </w:tcPr>
          <w:p>
            <w:pPr>
              <w:spacing w:line="360" w:lineRule="auto"/>
              <w:jc w:val="center"/>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21"/>
                <w:szCs w:val="21"/>
              </w:rPr>
              <w:t>专业技术人员</w:t>
            </w:r>
          </w:p>
        </w:tc>
        <w:tc>
          <w:tcPr>
            <w:tcW w:w="6579" w:type="dxa"/>
            <w:textDirection w:val="lrTb"/>
            <w:vAlign w:val="center"/>
          </w:tcPr>
          <w:p>
            <w:pPr>
              <w:spacing w:line="360" w:lineRule="auto"/>
              <w:jc w:val="left"/>
              <w:rPr>
                <w:rFonts w:hint="eastAsia" w:ascii="宋体" w:hAnsi="宋体"/>
                <w:color w:val="auto"/>
                <w:sz w:val="21"/>
                <w:szCs w:val="21"/>
                <w:lang w:val="en-US" w:eastAsia="zh-CN"/>
              </w:rPr>
            </w:pPr>
            <w:r>
              <w:rPr>
                <w:rFonts w:hint="eastAsia" w:asciiTheme="minorEastAsia" w:hAnsiTheme="minorEastAsia" w:eastAsiaTheme="minorEastAsia" w:cstheme="minorEastAsia"/>
                <w:color w:val="auto"/>
                <w:sz w:val="21"/>
                <w:szCs w:val="21"/>
              </w:rPr>
              <w:t>本项目获得所投品牌的厂家授权产品认证工程师</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不少于8 名的得3 分，5 名的得1 分。其他情况不得分。</w:t>
            </w:r>
          </w:p>
        </w:tc>
        <w:tc>
          <w:tcPr>
            <w:tcW w:w="919" w:type="dxa"/>
            <w:tcBorders>
              <w:left w:val="single" w:color="auto" w:sz="4" w:space="0"/>
            </w:tcBorders>
            <w:textDirection w:val="lrTb"/>
            <w:vAlign w:val="center"/>
          </w:tcPr>
          <w:p>
            <w:pPr>
              <w:spacing w:line="360" w:lineRule="auto"/>
              <w:jc w:val="center"/>
              <w:rPr>
                <w:rFonts w:ascii="宋体" w:hAnsi="宋体" w:cs="宋体"/>
                <w:color w:val="auto"/>
                <w:sz w:val="21"/>
                <w:szCs w:val="21"/>
              </w:rPr>
            </w:pPr>
            <w:r>
              <w:rPr>
                <w:rFonts w:hint="eastAsia" w:asciiTheme="minorEastAsia" w:hAnsiTheme="minorEastAsia" w:eastAsiaTheme="minorEastAsia" w:cstheme="minorEastAsia"/>
                <w:color w:val="auto"/>
                <w:sz w:val="21"/>
                <w:szCs w:val="21"/>
                <w:highlight w:val="none"/>
                <w:lang w:val="en-US" w:eastAsia="zh-CN"/>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tcBorders>
              <w:top w:val="single" w:color="auto" w:sz="4" w:space="0"/>
              <w:bottom w:val="single" w:color="auto" w:sz="4" w:space="0"/>
            </w:tcBorders>
            <w:vAlign w:val="center"/>
          </w:tcPr>
          <w:p>
            <w:pPr>
              <w:pStyle w:val="16"/>
              <w:numPr>
                <w:ilvl w:val="0"/>
                <w:numId w:val="15"/>
              </w:numPr>
              <w:autoSpaceDE/>
              <w:autoSpaceDN/>
              <w:adjustRightInd/>
              <w:ind w:firstLineChars="0"/>
              <w:jc w:val="center"/>
              <w:rPr>
                <w:rFonts w:ascii="宋体" w:hAnsi="宋体"/>
                <w:color w:val="auto"/>
                <w:sz w:val="21"/>
                <w:szCs w:val="21"/>
                <w:highlight w:val="none"/>
              </w:rPr>
            </w:pPr>
          </w:p>
        </w:tc>
        <w:tc>
          <w:tcPr>
            <w:tcW w:w="1243" w:type="dxa"/>
            <w:textDirection w:val="lrTb"/>
            <w:vAlign w:val="center"/>
          </w:tcPr>
          <w:p>
            <w:pPr>
              <w:spacing w:line="360" w:lineRule="auto"/>
              <w:jc w:val="center"/>
              <w:rPr>
                <w:rFonts w:ascii="宋体" w:hAnsi="宋体"/>
                <w:color w:val="auto"/>
                <w:sz w:val="21"/>
                <w:szCs w:val="21"/>
                <w:highlight w:val="none"/>
              </w:rPr>
            </w:pPr>
            <w:r>
              <w:rPr>
                <w:rFonts w:hint="eastAsia" w:asciiTheme="minorEastAsia" w:hAnsiTheme="minorEastAsia" w:eastAsiaTheme="minorEastAsia" w:cstheme="minorEastAsia"/>
                <w:color w:val="auto"/>
                <w:sz w:val="21"/>
                <w:szCs w:val="21"/>
              </w:rPr>
              <w:t>2017年至今同类项目业绩</w:t>
            </w:r>
          </w:p>
        </w:tc>
        <w:tc>
          <w:tcPr>
            <w:tcW w:w="6579" w:type="dxa"/>
            <w:textDirection w:val="lrTb"/>
            <w:vAlign w:val="center"/>
          </w:tcPr>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每提供同类项目合同一份得1分，最高分为3分。</w:t>
            </w:r>
          </w:p>
          <w:p>
            <w:pPr>
              <w:spacing w:line="360" w:lineRule="auto"/>
              <w:jc w:val="left"/>
              <w:rPr>
                <w:rFonts w:ascii="宋体" w:hAnsi="宋体"/>
                <w:color w:val="auto"/>
                <w:sz w:val="21"/>
                <w:szCs w:val="21"/>
                <w:highlight w:val="none"/>
              </w:rPr>
            </w:pPr>
            <w:r>
              <w:rPr>
                <w:rFonts w:hint="eastAsia" w:asciiTheme="minorEastAsia" w:hAnsiTheme="minorEastAsia" w:eastAsiaTheme="minorEastAsia" w:cstheme="minorEastAsia"/>
                <w:color w:val="auto"/>
                <w:sz w:val="21"/>
                <w:szCs w:val="21"/>
              </w:rPr>
              <w:t>（提供合同复印件作为同类业绩评价证明资料，提供的合同是完整的，不能有涂改，否则视为无效。）</w:t>
            </w:r>
          </w:p>
        </w:tc>
        <w:tc>
          <w:tcPr>
            <w:tcW w:w="919" w:type="dxa"/>
            <w:tcBorders>
              <w:left w:val="single" w:color="auto" w:sz="4" w:space="0"/>
            </w:tcBorders>
            <w:textDirection w:val="lrTb"/>
            <w:vAlign w:val="center"/>
          </w:tcPr>
          <w:p>
            <w:pPr>
              <w:spacing w:line="360" w:lineRule="auto"/>
              <w:ind w:left="4800" w:leftChars="0" w:hanging="4800" w:firstLineChars="0"/>
              <w:jc w:val="center"/>
              <w:rPr>
                <w:rFonts w:ascii="宋体" w:hAnsi="宋体" w:cs="宋体"/>
                <w:color w:val="auto"/>
                <w:sz w:val="21"/>
                <w:szCs w:val="21"/>
              </w:rPr>
            </w:pPr>
            <w:r>
              <w:rPr>
                <w:rFonts w:hint="eastAsia" w:asciiTheme="minorEastAsia" w:hAnsiTheme="minorEastAsia" w:eastAsiaTheme="minorEastAsia" w:cstheme="minorEastAsia"/>
                <w:bCs/>
                <w:color w:val="auto"/>
                <w:sz w:val="21"/>
                <w:szCs w:val="21"/>
                <w:highlight w:val="none"/>
                <w:lang w:val="en-US" w:eastAsia="zh-CN"/>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tcBorders>
              <w:top w:val="single" w:color="auto" w:sz="4" w:space="0"/>
              <w:bottom w:val="single" w:color="auto" w:sz="4" w:space="0"/>
            </w:tcBorders>
            <w:vAlign w:val="center"/>
          </w:tcPr>
          <w:p>
            <w:pPr>
              <w:pStyle w:val="16"/>
              <w:numPr>
                <w:ilvl w:val="0"/>
                <w:numId w:val="15"/>
              </w:numPr>
              <w:autoSpaceDE/>
              <w:autoSpaceDN/>
              <w:adjustRightInd/>
              <w:ind w:firstLineChars="0"/>
              <w:jc w:val="center"/>
              <w:rPr>
                <w:rFonts w:ascii="宋体" w:hAnsi="宋体"/>
                <w:color w:val="auto"/>
                <w:sz w:val="21"/>
                <w:szCs w:val="21"/>
                <w:highlight w:val="none"/>
              </w:rPr>
            </w:pPr>
          </w:p>
        </w:tc>
        <w:tc>
          <w:tcPr>
            <w:tcW w:w="1243" w:type="dxa"/>
            <w:textDirection w:val="lrTb"/>
            <w:vAlign w:val="center"/>
          </w:tcPr>
          <w:p>
            <w:pPr>
              <w:spacing w:line="360" w:lineRule="auto"/>
              <w:jc w:val="center"/>
              <w:rPr>
                <w:rFonts w:hint="eastAsia" w:ascii="宋体" w:hAnsi="宋体" w:cs="宋体"/>
                <w:color w:val="auto"/>
                <w:sz w:val="21"/>
                <w:szCs w:val="21"/>
                <w:highlight w:val="none"/>
                <w:lang w:eastAsia="zh-CN"/>
              </w:rPr>
            </w:pPr>
            <w:r>
              <w:rPr>
                <w:rFonts w:hint="eastAsia" w:asciiTheme="minorEastAsia" w:hAnsiTheme="minorEastAsia" w:eastAsiaTheme="minorEastAsia" w:cstheme="minorEastAsia"/>
                <w:color w:val="auto"/>
                <w:sz w:val="21"/>
                <w:szCs w:val="21"/>
              </w:rPr>
              <w:t>所投品牌厂家资格声明</w:t>
            </w:r>
          </w:p>
        </w:tc>
        <w:tc>
          <w:tcPr>
            <w:tcW w:w="6579" w:type="dxa"/>
            <w:textDirection w:val="lrTb"/>
            <w:vAlign w:val="center"/>
          </w:tcPr>
          <w:p>
            <w:pPr>
              <w:spacing w:line="360" w:lineRule="auto"/>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包括不限于质量管理体系认证证书（ISO9001）环境管理体系认证证书（ISO14001）职业健康安全管理体系认证证书（OHSAS18001）信息安全管理体系认证证书(ISO27001)IT服务管理体系认证证书(ISO/IEC2000)</w:t>
            </w:r>
            <w:r>
              <w:rPr>
                <w:rFonts w:hint="eastAsia" w:asciiTheme="minorEastAsia" w:hAnsiTheme="minorEastAsia" w:eastAsiaTheme="minorEastAsia" w:cstheme="minorEastAsia"/>
                <w:color w:val="auto"/>
                <w:sz w:val="21"/>
                <w:szCs w:val="21"/>
                <w:lang w:eastAsia="zh-CN"/>
              </w:rPr>
              <w:t>客户联络中心标准体系认证证书(CCCS 服务认证)</w:t>
            </w:r>
          </w:p>
          <w:p>
            <w:pPr>
              <w:spacing w:line="360" w:lineRule="auto"/>
              <w:jc w:val="left"/>
              <w:rPr>
                <w:rFonts w:hint="eastAsia" w:ascii="宋体" w:hAnsi="宋体" w:cs="宋体"/>
                <w:color w:val="auto"/>
                <w:sz w:val="21"/>
                <w:szCs w:val="21"/>
                <w:highlight w:val="none"/>
              </w:rPr>
            </w:pPr>
            <w:r>
              <w:rPr>
                <w:rFonts w:hint="eastAsia" w:asciiTheme="minorEastAsia" w:hAnsiTheme="minorEastAsia" w:eastAsiaTheme="minorEastAsia" w:cstheme="minorEastAsia"/>
                <w:color w:val="auto"/>
                <w:sz w:val="21"/>
                <w:szCs w:val="21"/>
                <w:lang w:eastAsia="zh-CN"/>
              </w:rPr>
              <w:t>具备以上证书的得2分，其他情况不得分。</w:t>
            </w:r>
          </w:p>
        </w:tc>
        <w:tc>
          <w:tcPr>
            <w:tcW w:w="919" w:type="dxa"/>
            <w:tcBorders>
              <w:left w:val="single" w:color="auto" w:sz="4" w:space="0"/>
            </w:tcBorders>
            <w:textDirection w:val="lrTb"/>
            <w:vAlign w:val="center"/>
          </w:tcPr>
          <w:p>
            <w:pPr>
              <w:spacing w:line="360" w:lineRule="auto"/>
              <w:ind w:left="4800" w:leftChars="0" w:hanging="4800" w:firstLineChars="0"/>
              <w:jc w:val="center"/>
              <w:rPr>
                <w:rFonts w:hint="eastAsia" w:ascii="宋体" w:hAnsi="宋体"/>
                <w:color w:val="auto"/>
                <w:sz w:val="21"/>
                <w:szCs w:val="21"/>
                <w:lang w:val="en-US" w:eastAsia="zh-CN"/>
              </w:rPr>
            </w:pPr>
            <w:r>
              <w:rPr>
                <w:rFonts w:hint="eastAsia" w:asciiTheme="minorEastAsia" w:hAnsiTheme="minorEastAsia" w:eastAsiaTheme="minorEastAsia" w:cstheme="minorEastAsia"/>
                <w:bCs/>
                <w:color w:val="auto"/>
                <w:sz w:val="21"/>
                <w:szCs w:val="21"/>
                <w:highlight w:val="none"/>
                <w:lang w:val="en-US" w:eastAsia="zh-CN"/>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8539" w:type="dxa"/>
            <w:gridSpan w:val="3"/>
            <w:vAlign w:val="center"/>
          </w:tcPr>
          <w:p>
            <w:pPr>
              <w:ind w:left="-78" w:leftChars="-37" w:right="-73" w:rightChars="-35"/>
              <w:jc w:val="center"/>
              <w:rPr>
                <w:rFonts w:ascii="宋体" w:hAnsi="宋体" w:cs="宋体"/>
                <w:b/>
                <w:bCs/>
                <w:color w:val="auto"/>
                <w:sz w:val="21"/>
                <w:szCs w:val="21"/>
              </w:rPr>
            </w:pPr>
            <w:r>
              <w:rPr>
                <w:rFonts w:hint="eastAsia"/>
                <w:b/>
                <w:bCs/>
                <w:color w:val="auto"/>
                <w:sz w:val="21"/>
                <w:szCs w:val="21"/>
              </w:rPr>
              <w:t>技术商务部分合计</w:t>
            </w:r>
          </w:p>
        </w:tc>
        <w:tc>
          <w:tcPr>
            <w:tcW w:w="919" w:type="dxa"/>
            <w:tcBorders>
              <w:left w:val="single" w:color="auto" w:sz="4" w:space="0"/>
            </w:tcBorders>
            <w:vAlign w:val="center"/>
          </w:tcPr>
          <w:p>
            <w:pPr>
              <w:ind w:left="-78" w:leftChars="-37" w:right="-73" w:rightChars="-35"/>
              <w:jc w:val="center"/>
              <w:rPr>
                <w:rFonts w:ascii="宋体" w:hAnsi="宋体" w:cs="宋体"/>
                <w:b/>
                <w:bCs/>
                <w:color w:val="auto"/>
                <w:sz w:val="21"/>
                <w:szCs w:val="21"/>
              </w:rPr>
            </w:pPr>
            <w:r>
              <w:rPr>
                <w:rFonts w:hint="eastAsia" w:ascii="宋体" w:hAnsi="宋体" w:cs="宋体"/>
                <w:b/>
                <w:bCs/>
                <w:color w:val="auto"/>
                <w:sz w:val="21"/>
                <w:szCs w:val="21"/>
                <w:lang w:val="en-US" w:eastAsia="zh-CN"/>
              </w:rPr>
              <w:t>65</w:t>
            </w:r>
            <w:r>
              <w:rPr>
                <w:rFonts w:hint="eastAsia" w:ascii="宋体" w:hAnsi="宋体" w:cs="宋体"/>
                <w:b/>
                <w:bCs/>
                <w:color w:val="auto"/>
                <w:sz w:val="21"/>
                <w:szCs w:val="21"/>
              </w:rPr>
              <w:t>分</w:t>
            </w:r>
          </w:p>
        </w:tc>
      </w:tr>
    </w:tbl>
    <w:p>
      <w:pPr>
        <w:widowControl/>
        <w:jc w:val="left"/>
        <w:rPr>
          <w:rFonts w:hint="eastAsia" w:asciiTheme="minorEastAsia" w:hAnsiTheme="minorEastAsia" w:eastAsiaTheme="minorEastAsia" w:cstheme="minorEastAsia"/>
          <w:b/>
          <w:color w:val="auto"/>
          <w:spacing w:val="20"/>
          <w:sz w:val="21"/>
          <w:szCs w:val="21"/>
        </w:rPr>
      </w:pPr>
      <w:r>
        <w:rPr>
          <w:rFonts w:hint="eastAsia" w:asciiTheme="minorEastAsia" w:hAnsiTheme="minorEastAsia" w:eastAsiaTheme="minorEastAsia" w:cstheme="minorEastAsia"/>
          <w:b/>
          <w:color w:val="auto"/>
          <w:spacing w:val="20"/>
          <w:sz w:val="21"/>
          <w:szCs w:val="21"/>
        </w:rPr>
        <w:br w:type="page"/>
      </w:r>
    </w:p>
    <w:p>
      <w:pPr>
        <w:widowControl/>
        <w:jc w:val="left"/>
        <w:rPr>
          <w:rFonts w:hint="eastAsia" w:asciiTheme="minorEastAsia" w:hAnsiTheme="minorEastAsia" w:eastAsiaTheme="minorEastAsia" w:cstheme="minorEastAsia"/>
          <w:b/>
          <w:color w:val="auto"/>
          <w:spacing w:val="20"/>
          <w:sz w:val="21"/>
          <w:szCs w:val="21"/>
        </w:rPr>
      </w:pPr>
    </w:p>
    <w:p>
      <w:pPr>
        <w:adjustRightInd w:val="0"/>
        <w:snapToGrid w:val="0"/>
        <w:spacing w:beforeLines="50" w:afterLines="50" w:line="360" w:lineRule="auto"/>
        <w:jc w:val="left"/>
        <w:outlineLvl w:val="1"/>
        <w:rPr>
          <w:rFonts w:hint="eastAsia" w:ascii="黑体" w:hAnsi="黑体" w:eastAsia="黑体" w:cs="黑体"/>
          <w:b w:val="0"/>
          <w:bCs w:val="0"/>
          <w:color w:val="auto"/>
          <w:sz w:val="28"/>
          <w:szCs w:val="28"/>
        </w:rPr>
      </w:pPr>
      <w:bookmarkStart w:id="318" w:name="_Toc11222"/>
      <w:bookmarkStart w:id="319" w:name="_Toc18488"/>
      <w:bookmarkStart w:id="320" w:name="_Toc28216"/>
      <w:bookmarkStart w:id="321" w:name="_Toc5231"/>
      <w:r>
        <w:rPr>
          <w:rFonts w:hint="eastAsia" w:ascii="黑体" w:hAnsi="黑体" w:eastAsia="黑体" w:cs="黑体"/>
          <w:b w:val="0"/>
          <w:bCs w:val="0"/>
          <w:color w:val="auto"/>
          <w:sz w:val="28"/>
          <w:szCs w:val="28"/>
        </w:rPr>
        <w:t>附表</w:t>
      </w:r>
      <w:r>
        <w:rPr>
          <w:rFonts w:hint="eastAsia" w:ascii="黑体" w:hAnsi="黑体" w:eastAsia="黑体" w:cs="黑体"/>
          <w:b w:val="0"/>
          <w:bCs w:val="0"/>
          <w:color w:val="auto"/>
          <w:sz w:val="28"/>
          <w:szCs w:val="28"/>
          <w:lang w:eastAsia="zh-CN"/>
        </w:rPr>
        <w:t>三</w:t>
      </w:r>
      <w:bookmarkEnd w:id="318"/>
      <w:bookmarkEnd w:id="319"/>
      <w:bookmarkEnd w:id="320"/>
      <w:bookmarkEnd w:id="321"/>
    </w:p>
    <w:p>
      <w:pPr>
        <w:adjustRightInd w:val="0"/>
        <w:snapToGrid w:val="0"/>
        <w:spacing w:beforeLines="50" w:afterLines="50" w:line="360" w:lineRule="auto"/>
        <w:jc w:val="center"/>
        <w:outlineLvl w:val="1"/>
        <w:rPr>
          <w:rFonts w:hint="eastAsia" w:ascii="黑体" w:hAnsi="黑体" w:eastAsia="黑体" w:cs="黑体"/>
          <w:color w:val="auto"/>
          <w:sz w:val="28"/>
          <w:szCs w:val="28"/>
        </w:rPr>
      </w:pPr>
      <w:bookmarkStart w:id="322" w:name="_Toc18730"/>
      <w:bookmarkStart w:id="323" w:name="_Toc897"/>
      <w:bookmarkStart w:id="324" w:name="_Toc24397"/>
      <w:bookmarkStart w:id="325" w:name="_Toc21765"/>
      <w:r>
        <w:rPr>
          <w:rFonts w:hint="eastAsia" w:ascii="黑体" w:hAnsi="黑体" w:eastAsia="黑体" w:cs="黑体"/>
          <w:color w:val="auto"/>
          <w:sz w:val="28"/>
          <w:szCs w:val="28"/>
        </w:rPr>
        <w:t>价 格 评 分 表（</w:t>
      </w:r>
      <w:r>
        <w:rPr>
          <w:rFonts w:hint="eastAsia" w:ascii="黑体" w:hAnsi="黑体" w:eastAsia="黑体" w:cs="黑体"/>
          <w:color w:val="auto"/>
          <w:sz w:val="28"/>
          <w:szCs w:val="28"/>
          <w:lang w:val="en-US" w:eastAsia="zh-CN"/>
        </w:rPr>
        <w:t>35</w:t>
      </w:r>
      <w:r>
        <w:rPr>
          <w:rFonts w:hint="eastAsia" w:ascii="黑体" w:hAnsi="黑体" w:eastAsia="黑体" w:cs="黑体"/>
          <w:color w:val="auto"/>
          <w:sz w:val="28"/>
          <w:szCs w:val="28"/>
        </w:rPr>
        <w:t>分）</w:t>
      </w:r>
      <w:bookmarkEnd w:id="322"/>
      <w:bookmarkEnd w:id="323"/>
      <w:bookmarkEnd w:id="324"/>
      <w:bookmarkEnd w:id="325"/>
    </w:p>
    <w:p>
      <w:pPr>
        <w:spacing w:line="360" w:lineRule="auto"/>
        <w:ind w:left="425"/>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rPr>
        <w:t>综合评分法中的价格分统一采用低价优先法计算，即满足竞选文件要求（通过资格性、符合性审查）且竞选价格最低的有效竞选报价（指价格核准后的价格，下同）为基准价，其价格分为满分</w:t>
      </w:r>
      <w:r>
        <w:rPr>
          <w:rFonts w:hint="eastAsia" w:asciiTheme="minorEastAsia" w:hAnsiTheme="minorEastAsia" w:eastAsiaTheme="minorEastAsia" w:cstheme="minorEastAsia"/>
          <w:bCs/>
          <w:color w:val="auto"/>
          <w:lang w:eastAsia="zh-CN"/>
        </w:rPr>
        <w:t>，</w:t>
      </w:r>
      <w:r>
        <w:rPr>
          <w:rFonts w:hint="eastAsia" w:asciiTheme="minorEastAsia" w:hAnsiTheme="minorEastAsia" w:eastAsiaTheme="minorEastAsia" w:cstheme="minorEastAsia"/>
          <w:bCs/>
          <w:color w:val="auto"/>
          <w:lang w:val="en-US" w:eastAsia="zh-CN"/>
        </w:rPr>
        <w:t>其他</w:t>
      </w:r>
      <w:r>
        <w:rPr>
          <w:rFonts w:hint="eastAsia" w:asciiTheme="minorEastAsia" w:hAnsiTheme="minorEastAsia" w:eastAsiaTheme="minorEastAsia" w:cstheme="minorEastAsia"/>
          <w:bCs/>
          <w:color w:val="auto"/>
          <w:highlight w:val="none"/>
          <w:lang w:val="en-US" w:eastAsia="zh-CN"/>
        </w:rPr>
        <w:t>有效竞选报价为评审价</w:t>
      </w:r>
      <w:r>
        <w:rPr>
          <w:rFonts w:hint="eastAsia" w:asciiTheme="minorEastAsia" w:hAnsiTheme="minorEastAsia" w:eastAsiaTheme="minorEastAsia" w:cstheme="minorEastAsia"/>
          <w:bCs/>
          <w:color w:val="auto"/>
        </w:rPr>
        <w:t>。其他</w:t>
      </w:r>
      <w:r>
        <w:rPr>
          <w:rFonts w:hint="eastAsia" w:asciiTheme="minorEastAsia" w:hAnsiTheme="minorEastAsia" w:eastAsiaTheme="minorEastAsia" w:cstheme="minorEastAsia"/>
          <w:bCs/>
          <w:color w:val="auto"/>
          <w:lang w:eastAsia="zh-CN"/>
        </w:rPr>
        <w:t>竞选人</w:t>
      </w:r>
      <w:r>
        <w:rPr>
          <w:rFonts w:hint="eastAsia" w:asciiTheme="minorEastAsia" w:hAnsiTheme="minorEastAsia" w:eastAsiaTheme="minorEastAsia" w:cstheme="minorEastAsia"/>
          <w:bCs/>
          <w:color w:val="auto"/>
        </w:rPr>
        <w:t>的价格分统一按</w:t>
      </w:r>
      <w:r>
        <w:rPr>
          <w:rFonts w:hint="eastAsia" w:asciiTheme="minorEastAsia" w:hAnsiTheme="minorEastAsia" w:eastAsiaTheme="minorEastAsia" w:cstheme="minorEastAsia"/>
          <w:bCs/>
          <w:color w:val="auto"/>
          <w:highlight w:val="none"/>
        </w:rPr>
        <w:t>照下列公式计算：</w:t>
      </w:r>
    </w:p>
    <w:p>
      <w:pPr>
        <w:spacing w:line="360" w:lineRule="auto"/>
        <w:ind w:firstLine="413" w:firstLineChars="196"/>
        <w:jc w:val="center"/>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价格</w:t>
      </w:r>
      <w:r>
        <w:rPr>
          <w:rFonts w:hint="eastAsia" w:asciiTheme="minorEastAsia" w:hAnsiTheme="minorEastAsia" w:eastAsiaTheme="minorEastAsia" w:cstheme="minorEastAsia"/>
          <w:b/>
          <w:bCs/>
          <w:color w:val="auto"/>
          <w:highlight w:val="none"/>
          <w:lang w:eastAsia="zh-CN"/>
        </w:rPr>
        <w:t>评分</w:t>
      </w:r>
      <w:r>
        <w:rPr>
          <w:rFonts w:hint="eastAsia" w:asciiTheme="minorEastAsia" w:hAnsiTheme="minorEastAsia" w:eastAsiaTheme="minorEastAsia" w:cstheme="minorEastAsia"/>
          <w:b/>
          <w:bCs/>
          <w:color w:val="auto"/>
          <w:highlight w:val="none"/>
        </w:rPr>
        <w:t>=(基准价</w:t>
      </w:r>
      <w:r>
        <w:rPr>
          <w:rFonts w:hint="eastAsia" w:asciiTheme="minorEastAsia" w:hAnsiTheme="minorEastAsia" w:eastAsiaTheme="minorEastAsia" w:cstheme="minorEastAsia"/>
          <w:b/>
          <w:bCs/>
          <w:color w:val="auto"/>
          <w:highlight w:val="none"/>
          <w:lang w:val="en-US" w:eastAsia="zh-CN"/>
        </w:rPr>
        <w:t>÷评审价</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35</w:t>
      </w:r>
    </w:p>
    <w:p>
      <w:pPr>
        <w:pStyle w:val="2"/>
        <w:rPr>
          <w:color w:val="auto"/>
        </w:rPr>
      </w:pPr>
    </w:p>
    <w:p>
      <w:pPr>
        <w:ind w:firstLine="420"/>
        <w:rPr>
          <w:rFonts w:hint="eastAsia" w:asciiTheme="minorEastAsia" w:hAnsiTheme="minorEastAsia" w:eastAsiaTheme="minorEastAsia" w:cstheme="minorEastAsia"/>
          <w:bCs/>
          <w:color w:val="auto"/>
          <w:lang w:eastAsia="zh-CN"/>
        </w:rPr>
      </w:pPr>
      <w:r>
        <w:rPr>
          <w:rFonts w:hint="eastAsia" w:asciiTheme="minorEastAsia" w:hAnsiTheme="minorEastAsia" w:eastAsiaTheme="minorEastAsia" w:cstheme="minorEastAsia"/>
          <w:bCs/>
          <w:color w:val="auto"/>
        </w:rPr>
        <w:t>备注：</w:t>
      </w:r>
      <w:r>
        <w:rPr>
          <w:rFonts w:hint="eastAsia" w:asciiTheme="minorEastAsia" w:hAnsiTheme="minorEastAsia" w:eastAsiaTheme="minorEastAsia" w:cstheme="minorEastAsia"/>
          <w:bCs/>
          <w:color w:val="auto"/>
          <w:lang w:val="en-US" w:eastAsia="zh-CN"/>
        </w:rPr>
        <w:t>价格</w:t>
      </w:r>
      <w:r>
        <w:rPr>
          <w:rFonts w:hint="eastAsia" w:asciiTheme="minorEastAsia" w:hAnsiTheme="minorEastAsia" w:eastAsiaTheme="minorEastAsia" w:cstheme="minorEastAsia"/>
          <w:bCs/>
          <w:color w:val="auto"/>
          <w:lang w:eastAsia="zh-CN"/>
        </w:rPr>
        <w:t>评分</w:t>
      </w:r>
      <w:r>
        <w:rPr>
          <w:rFonts w:hint="eastAsia" w:asciiTheme="minorEastAsia" w:hAnsiTheme="minorEastAsia" w:eastAsiaTheme="minorEastAsia" w:cstheme="minorEastAsia"/>
          <w:bCs/>
          <w:color w:val="auto"/>
        </w:rPr>
        <w:t>四舍五入后，</w:t>
      </w:r>
      <w:r>
        <w:rPr>
          <w:rFonts w:hint="eastAsia" w:asciiTheme="minorEastAsia" w:hAnsiTheme="minorEastAsia" w:eastAsiaTheme="minorEastAsia" w:cstheme="minorEastAsia"/>
          <w:color w:val="auto"/>
          <w:szCs w:val="20"/>
        </w:rPr>
        <w:t>小数点后保留两位有效数</w:t>
      </w:r>
      <w:r>
        <w:rPr>
          <w:rFonts w:hint="eastAsia" w:asciiTheme="minorEastAsia" w:hAnsiTheme="minorEastAsia" w:eastAsiaTheme="minorEastAsia" w:cstheme="minorEastAsia"/>
          <w:color w:val="auto"/>
          <w:szCs w:val="20"/>
          <w:lang w:eastAsia="zh-CN"/>
        </w:rPr>
        <w:t>。</w:t>
      </w:r>
    </w:p>
    <w:p>
      <w:pPr>
        <w:ind w:firstLine="420"/>
        <w:rPr>
          <w:rFonts w:hint="eastAsia" w:asciiTheme="minorEastAsia" w:hAnsiTheme="minorEastAsia" w:eastAsiaTheme="minorEastAsia" w:cstheme="minorEastAsia"/>
          <w:bCs/>
          <w:color w:val="auto"/>
        </w:rPr>
      </w:pPr>
    </w:p>
    <w:p>
      <w:pPr>
        <w:ind w:firstLine="420"/>
        <w:rPr>
          <w:rFonts w:hint="eastAsia" w:asciiTheme="minorEastAsia" w:hAnsiTheme="minorEastAsia" w:eastAsiaTheme="minorEastAsia" w:cstheme="minorEastAsia"/>
          <w:b/>
          <w:bCs w:val="0"/>
          <w:color w:val="auto"/>
          <w:sz w:val="28"/>
          <w:szCs w:val="36"/>
          <w:highlight w:val="cyan"/>
          <w:lang w:eastAsia="zh-CN"/>
        </w:rPr>
      </w:pPr>
    </w:p>
    <w:p>
      <w:pPr>
        <w:widowControl/>
        <w:jc w:val="left"/>
        <w:rPr>
          <w:rFonts w:hint="eastAsia" w:asciiTheme="minorEastAsia" w:hAnsiTheme="minorEastAsia" w:eastAsiaTheme="minorEastAsia" w:cstheme="minorEastAsia"/>
          <w:bCs/>
          <w:color w:val="auto"/>
          <w:spacing w:val="20"/>
          <w:kern w:val="44"/>
          <w:sz w:val="21"/>
          <w:szCs w:val="21"/>
        </w:rPr>
      </w:pPr>
      <w:r>
        <w:rPr>
          <w:rFonts w:hint="eastAsia" w:asciiTheme="minorEastAsia" w:hAnsiTheme="minorEastAsia" w:eastAsiaTheme="minorEastAsia" w:cstheme="minorEastAsia"/>
          <w:b/>
          <w:color w:val="auto"/>
          <w:spacing w:val="20"/>
          <w:sz w:val="21"/>
          <w:szCs w:val="21"/>
        </w:rPr>
        <w:br w:type="page"/>
      </w:r>
    </w:p>
    <w:p>
      <w:pPr>
        <w:numPr>
          <w:ilvl w:val="0"/>
          <w:numId w:val="2"/>
        </w:numPr>
        <w:adjustRightInd w:val="0"/>
        <w:snapToGrid w:val="0"/>
        <w:spacing w:beforeLines="50" w:afterLines="50" w:line="360" w:lineRule="auto"/>
        <w:ind w:left="0" w:leftChars="0" w:firstLine="0" w:firstLineChars="0"/>
        <w:jc w:val="center"/>
        <w:outlineLvl w:val="0"/>
        <w:rPr>
          <w:rFonts w:hint="eastAsia" w:asciiTheme="minorEastAsia" w:hAnsiTheme="minorEastAsia" w:eastAsiaTheme="minorEastAsia" w:cstheme="minorEastAsia"/>
          <w:b/>
          <w:bCs/>
          <w:color w:val="auto"/>
          <w:sz w:val="28"/>
          <w:szCs w:val="28"/>
          <w:lang w:eastAsia="zh-CN"/>
        </w:rPr>
      </w:pPr>
      <w:bookmarkStart w:id="326" w:name="_Toc7078_WPSOffice_Level1"/>
      <w:bookmarkStart w:id="327" w:name="_Toc2341751"/>
      <w:bookmarkStart w:id="328" w:name="_Toc2341913"/>
      <w:bookmarkStart w:id="329" w:name="_Toc2341344"/>
      <w:bookmarkStart w:id="330" w:name="_Toc26099"/>
      <w:bookmarkStart w:id="331" w:name="_Toc20544"/>
      <w:bookmarkStart w:id="332" w:name="_Toc12518"/>
      <w:bookmarkStart w:id="333" w:name="_Toc2341664"/>
      <w:r>
        <w:rPr>
          <w:rFonts w:hint="eastAsia" w:asciiTheme="minorEastAsia" w:hAnsiTheme="minorEastAsia" w:eastAsiaTheme="minorEastAsia" w:cstheme="minorEastAsia"/>
          <w:b/>
          <w:bCs/>
          <w:color w:val="auto"/>
          <w:sz w:val="28"/>
          <w:szCs w:val="28"/>
          <w:lang w:eastAsia="zh-CN"/>
        </w:rPr>
        <w:t>响应文件格式</w:t>
      </w:r>
      <w:bookmarkEnd w:id="313"/>
      <w:bookmarkEnd w:id="314"/>
      <w:bookmarkEnd w:id="315"/>
      <w:bookmarkEnd w:id="316"/>
      <w:bookmarkEnd w:id="317"/>
      <w:bookmarkEnd w:id="326"/>
      <w:bookmarkEnd w:id="327"/>
      <w:bookmarkEnd w:id="328"/>
      <w:bookmarkEnd w:id="329"/>
      <w:bookmarkEnd w:id="330"/>
      <w:bookmarkEnd w:id="331"/>
      <w:bookmarkEnd w:id="332"/>
      <w:bookmarkEnd w:id="333"/>
      <w:bookmarkStart w:id="334" w:name="_Toc130139098"/>
    </w:p>
    <w:p>
      <w:pPr>
        <w:pStyle w:val="4"/>
        <w:numPr>
          <w:ilvl w:val="1"/>
          <w:numId w:val="0"/>
        </w:numPr>
        <w:spacing w:line="440" w:lineRule="exact"/>
        <w:ind w:leftChars="0"/>
        <w:jc w:val="center"/>
        <w:outlineLvl w:val="1"/>
        <w:rPr>
          <w:rFonts w:hint="eastAsia"/>
          <w:color w:val="auto"/>
          <w:sz w:val="28"/>
          <w:szCs w:val="22"/>
        </w:rPr>
      </w:pPr>
      <w:bookmarkStart w:id="335" w:name="_Toc5618"/>
      <w:bookmarkStart w:id="336" w:name="_Toc11208_WPSOffice_Level1"/>
      <w:bookmarkStart w:id="337" w:name="_Toc318"/>
      <w:bookmarkStart w:id="338" w:name="_Toc3863"/>
      <w:bookmarkStart w:id="339" w:name="_Toc15192"/>
      <w:r>
        <w:rPr>
          <w:rFonts w:hint="eastAsia"/>
          <w:color w:val="auto"/>
          <w:sz w:val="28"/>
          <w:szCs w:val="22"/>
          <w:lang w:eastAsia="zh-CN"/>
        </w:rPr>
        <w:t>响应</w:t>
      </w:r>
      <w:r>
        <w:rPr>
          <w:rFonts w:hint="eastAsia"/>
          <w:color w:val="auto"/>
          <w:sz w:val="28"/>
          <w:szCs w:val="22"/>
        </w:rPr>
        <w:t>文件包装封面参考</w:t>
      </w:r>
      <w:bookmarkEnd w:id="335"/>
      <w:bookmarkEnd w:id="336"/>
      <w:bookmarkEnd w:id="337"/>
      <w:bookmarkEnd w:id="338"/>
      <w:bookmarkEnd w:id="339"/>
    </w:p>
    <w:tbl>
      <w:tblPr>
        <w:tblStyle w:val="13"/>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vAlign w:val="top"/>
          </w:tcPr>
          <w:p>
            <w:pPr>
              <w:pStyle w:val="3"/>
              <w:spacing w:line="360" w:lineRule="auto"/>
              <w:ind w:firstLine="482" w:firstLineChars="150"/>
              <w:rPr>
                <w:rFonts w:hint="eastAsia" w:ascii="仿宋_GB2312" w:eastAsia="仿宋_GB2312"/>
                <w:b/>
                <w:color w:val="auto"/>
                <w:sz w:val="32"/>
              </w:rPr>
            </w:pPr>
          </w:p>
          <w:p>
            <w:pPr>
              <w:pStyle w:val="3"/>
              <w:spacing w:line="360" w:lineRule="auto"/>
              <w:rPr>
                <w:rFonts w:hint="eastAsia" w:ascii="仿宋_GB2312" w:eastAsia="仿宋_GB2312"/>
                <w:b/>
                <w:color w:val="auto"/>
                <w:sz w:val="32"/>
              </w:rPr>
            </w:pPr>
          </w:p>
          <w:p>
            <w:pPr>
              <w:pStyle w:val="3"/>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lang w:eastAsia="zh-CN"/>
              </w:rPr>
              <w:t>响</w:t>
            </w:r>
            <w:r>
              <w:rPr>
                <w:rFonts w:hint="eastAsia" w:ascii="黑体" w:eastAsia="黑体"/>
                <w:b/>
                <w:color w:val="auto"/>
                <w:sz w:val="72"/>
                <w:szCs w:val="72"/>
                <w:highlight w:val="none"/>
              </w:rPr>
              <w:t xml:space="preserve"> </w:t>
            </w:r>
            <w:r>
              <w:rPr>
                <w:rFonts w:hint="eastAsia" w:ascii="黑体" w:eastAsia="黑体"/>
                <w:b/>
                <w:color w:val="auto"/>
                <w:sz w:val="72"/>
                <w:szCs w:val="72"/>
                <w:highlight w:val="none"/>
                <w:lang w:eastAsia="zh-CN"/>
              </w:rPr>
              <w:t>应</w:t>
            </w:r>
            <w:r>
              <w:rPr>
                <w:rFonts w:hint="eastAsia" w:ascii="黑体" w:eastAsia="黑体"/>
                <w:b/>
                <w:color w:val="auto"/>
                <w:sz w:val="72"/>
                <w:szCs w:val="72"/>
                <w:highlight w:val="none"/>
                <w:lang w:val="en-US" w:eastAsia="zh-CN"/>
              </w:rPr>
              <w:t xml:space="preserve"> </w:t>
            </w:r>
            <w:r>
              <w:rPr>
                <w:rFonts w:hint="eastAsia" w:ascii="黑体" w:eastAsia="黑体"/>
                <w:b/>
                <w:color w:val="auto"/>
                <w:sz w:val="72"/>
                <w:szCs w:val="72"/>
                <w:highlight w:val="none"/>
              </w:rPr>
              <w:t>文 件</w:t>
            </w:r>
          </w:p>
          <w:p>
            <w:pPr>
              <w:pStyle w:val="3"/>
              <w:spacing w:line="360" w:lineRule="auto"/>
              <w:ind w:firstLine="3654" w:firstLineChars="700"/>
              <w:rPr>
                <w:rFonts w:hint="eastAsia" w:ascii="黑体" w:eastAsia="黑体"/>
                <w:b/>
                <w:color w:val="auto"/>
                <w:sz w:val="52"/>
                <w:szCs w:val="52"/>
              </w:rPr>
            </w:pPr>
          </w:p>
          <w:p>
            <w:pPr>
              <w:pStyle w:val="3"/>
              <w:spacing w:line="360" w:lineRule="auto"/>
              <w:ind w:firstLine="3654" w:firstLineChars="700"/>
              <w:rPr>
                <w:rFonts w:hint="eastAsia" w:ascii="黑体" w:eastAsia="黑体"/>
                <w:b/>
                <w:color w:val="auto"/>
                <w:sz w:val="32"/>
              </w:rPr>
            </w:pPr>
            <w:r>
              <w:rPr>
                <w:rFonts w:hint="eastAsia" w:ascii="黑体" w:eastAsia="黑体"/>
                <w:b/>
                <w:color w:val="auto"/>
                <w:sz w:val="52"/>
                <w:szCs w:val="52"/>
              </w:rPr>
              <w:t xml:space="preserve">口 </w:t>
            </w:r>
            <w:r>
              <w:rPr>
                <w:rFonts w:hint="eastAsia" w:ascii="黑体" w:eastAsia="黑体"/>
                <w:b/>
                <w:color w:val="auto"/>
                <w:sz w:val="32"/>
              </w:rPr>
              <w:t>正本</w:t>
            </w:r>
          </w:p>
          <w:p>
            <w:pPr>
              <w:pStyle w:val="3"/>
              <w:spacing w:line="360" w:lineRule="auto"/>
              <w:ind w:firstLine="3654" w:firstLineChars="700"/>
              <w:rPr>
                <w:rFonts w:hint="eastAsia" w:ascii="黑体" w:eastAsia="黑体"/>
                <w:b/>
                <w:color w:val="auto"/>
                <w:sz w:val="32"/>
              </w:rPr>
            </w:pPr>
            <w:r>
              <w:rPr>
                <w:rFonts w:hint="eastAsia" w:ascii="黑体" w:eastAsia="黑体"/>
                <w:b/>
                <w:color w:val="auto"/>
                <w:sz w:val="52"/>
                <w:szCs w:val="52"/>
              </w:rPr>
              <w:t xml:space="preserve">口 </w:t>
            </w:r>
            <w:r>
              <w:rPr>
                <w:rFonts w:hint="eastAsia" w:ascii="黑体" w:eastAsia="黑体"/>
                <w:b/>
                <w:color w:val="auto"/>
                <w:sz w:val="32"/>
              </w:rPr>
              <w:t>副本</w:t>
            </w:r>
          </w:p>
          <w:p>
            <w:pPr>
              <w:pStyle w:val="3"/>
              <w:spacing w:line="360" w:lineRule="auto"/>
              <w:rPr>
                <w:rFonts w:hint="eastAsia" w:ascii="仿宋_GB2312" w:eastAsia="仿宋_GB2312"/>
                <w:b/>
                <w:color w:val="auto"/>
                <w:sz w:val="32"/>
              </w:rPr>
            </w:pPr>
          </w:p>
          <w:p>
            <w:pPr>
              <w:pStyle w:val="3"/>
              <w:spacing w:line="360" w:lineRule="auto"/>
              <w:rPr>
                <w:rFonts w:hint="eastAsia" w:ascii="仿宋_GB2312" w:eastAsia="仿宋_GB2312"/>
                <w:b/>
                <w:color w:val="auto"/>
                <w:sz w:val="32"/>
              </w:rPr>
            </w:pPr>
          </w:p>
          <w:p>
            <w:pPr>
              <w:pStyle w:val="3"/>
              <w:spacing w:line="360" w:lineRule="auto"/>
              <w:rPr>
                <w:rFonts w:hint="eastAsia" w:ascii="仿宋_GB2312" w:eastAsia="仿宋_GB2312"/>
                <w:b/>
                <w:color w:val="auto"/>
                <w:sz w:val="32"/>
              </w:rPr>
            </w:pPr>
          </w:p>
          <w:p>
            <w:pPr>
              <w:pStyle w:val="3"/>
              <w:spacing w:line="360" w:lineRule="auto"/>
              <w:rPr>
                <w:rFonts w:hint="eastAsia" w:ascii="仿宋_GB2312" w:eastAsia="仿宋_GB2312"/>
                <w:b/>
                <w:color w:val="auto"/>
                <w:sz w:val="32"/>
              </w:rPr>
            </w:pPr>
          </w:p>
          <w:p>
            <w:pPr>
              <w:pStyle w:val="3"/>
              <w:spacing w:line="360" w:lineRule="auto"/>
              <w:rPr>
                <w:rFonts w:hint="eastAsia" w:ascii="仿宋_GB2312" w:eastAsia="仿宋_GB2312"/>
                <w:b/>
                <w:color w:val="auto"/>
                <w:sz w:val="32"/>
              </w:rPr>
            </w:pPr>
          </w:p>
          <w:p>
            <w:pPr>
              <w:pStyle w:val="3"/>
              <w:spacing w:line="360" w:lineRule="auto"/>
              <w:rPr>
                <w:rFonts w:hint="eastAsia" w:ascii="仿宋_GB2312" w:eastAsia="仿宋_GB2312"/>
                <w:b/>
                <w:color w:val="auto"/>
                <w:sz w:val="32"/>
              </w:rPr>
            </w:pPr>
          </w:p>
          <w:p>
            <w:pPr>
              <w:pStyle w:val="3"/>
              <w:spacing w:line="400" w:lineRule="exact"/>
              <w:ind w:firstLine="900" w:firstLineChars="320"/>
              <w:rPr>
                <w:rFonts w:hint="eastAsia" w:ascii="仿宋_GB2312" w:eastAsia="仿宋_GB2312"/>
                <w:b/>
                <w:color w:val="auto"/>
                <w:sz w:val="28"/>
                <w:szCs w:val="28"/>
              </w:rPr>
            </w:pPr>
          </w:p>
          <w:p>
            <w:pPr>
              <w:pStyle w:val="3"/>
              <w:spacing w:line="400" w:lineRule="exact"/>
              <w:ind w:left="2280" w:leftChars="427" w:hanging="1383" w:hangingChars="492"/>
              <w:rPr>
                <w:rFonts w:hint="eastAsia" w:ascii="仿宋_GB2312" w:eastAsia="仿宋_GB2312"/>
                <w:b/>
                <w:color w:val="auto"/>
                <w:sz w:val="28"/>
                <w:szCs w:val="28"/>
              </w:rPr>
            </w:pPr>
            <w:r>
              <w:rPr>
                <w:rFonts w:hint="eastAsia" w:ascii="仿宋_GB2312" w:eastAsia="仿宋_GB2312"/>
                <w:b/>
                <w:color w:val="auto"/>
                <w:sz w:val="28"/>
                <w:szCs w:val="28"/>
              </w:rPr>
              <w:t>项目名称：</w:t>
            </w:r>
            <w:r>
              <w:rPr>
                <w:rFonts w:hint="eastAsia" w:ascii="仿宋_GB2312" w:eastAsia="仿宋_GB2312"/>
                <w:b/>
                <w:color w:val="auto"/>
                <w:sz w:val="28"/>
                <w:szCs w:val="28"/>
                <w:lang w:eastAsia="zh-CN"/>
              </w:rPr>
              <w:t>广检集团广科院数据库服务器系统初期搭建项目</w:t>
            </w:r>
          </w:p>
          <w:p>
            <w:pPr>
              <w:pStyle w:val="3"/>
              <w:spacing w:line="400" w:lineRule="exact"/>
              <w:ind w:firstLine="900" w:firstLineChars="320"/>
              <w:rPr>
                <w:rFonts w:hint="eastAsia" w:ascii="仿宋_GB2312" w:eastAsia="仿宋_GB2312"/>
                <w:b/>
                <w:color w:val="auto"/>
                <w:sz w:val="28"/>
                <w:szCs w:val="28"/>
              </w:rPr>
            </w:pPr>
            <w:r>
              <w:rPr>
                <w:rFonts w:hint="eastAsia" w:ascii="仿宋_GB2312" w:eastAsia="仿宋_GB2312"/>
                <w:b/>
                <w:color w:val="auto"/>
                <w:sz w:val="28"/>
                <w:szCs w:val="28"/>
              </w:rPr>
              <w:t>竞选人名称：</w:t>
            </w:r>
          </w:p>
          <w:p>
            <w:pPr>
              <w:pStyle w:val="3"/>
              <w:spacing w:line="400" w:lineRule="exact"/>
              <w:ind w:firstLine="900" w:firstLineChars="320"/>
              <w:rPr>
                <w:rFonts w:hint="eastAsia" w:ascii="仿宋_GB2312" w:eastAsia="仿宋_GB2312"/>
                <w:b/>
                <w:color w:val="auto"/>
                <w:sz w:val="28"/>
                <w:szCs w:val="28"/>
              </w:rPr>
            </w:pPr>
            <w:r>
              <w:rPr>
                <w:rFonts w:hint="eastAsia" w:ascii="仿宋_GB2312" w:eastAsia="仿宋_GB2312"/>
                <w:b/>
                <w:color w:val="auto"/>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color w:val="auto"/>
                <w:sz w:val="32"/>
              </w:rPr>
            </w:pPr>
            <w:r>
              <w:rPr>
                <w:rFonts w:ascii="仿宋_GB2312" w:eastAsia="仿宋_GB2312"/>
                <w:b/>
                <w:color w:val="auto"/>
                <w:sz w:val="28"/>
                <w:szCs w:val="28"/>
              </w:rPr>
              <w:t xml:space="preserve"> </w:t>
            </w:r>
            <w:r>
              <w:rPr>
                <w:rFonts w:hint="eastAsia" w:ascii="仿宋_GB2312" w:eastAsia="仿宋_GB2312"/>
                <w:b/>
                <w:color w:val="auto"/>
                <w:sz w:val="28"/>
                <w:szCs w:val="28"/>
              </w:rPr>
              <w:t xml:space="preserve">     </w:t>
            </w:r>
            <w:r>
              <w:rPr>
                <w:rFonts w:ascii="仿宋_GB2312" w:eastAsia="仿宋_GB2312"/>
                <w:b/>
                <w:color w:val="auto"/>
                <w:sz w:val="28"/>
                <w:szCs w:val="28"/>
              </w:rPr>
              <w:t>(</w:t>
            </w:r>
            <w:r>
              <w:rPr>
                <w:rFonts w:ascii="仿宋_GB2312" w:eastAsia="仿宋_GB2312"/>
                <w:b/>
                <w:color w:val="auto"/>
                <w:sz w:val="28"/>
                <w:szCs w:val="28"/>
                <w:u w:val="single"/>
              </w:rPr>
              <w:t xml:space="preserve">    </w:t>
            </w:r>
            <w:r>
              <w:rPr>
                <w:rFonts w:hint="eastAsia" w:ascii="仿宋_GB2312" w:eastAsia="仿宋_GB2312"/>
                <w:b/>
                <w:color w:val="auto"/>
                <w:sz w:val="28"/>
                <w:szCs w:val="28"/>
              </w:rPr>
              <w:t>年</w:t>
            </w:r>
            <w:r>
              <w:rPr>
                <w:rFonts w:ascii="仿宋_GB2312" w:eastAsia="仿宋_GB2312"/>
                <w:b/>
                <w:color w:val="auto"/>
                <w:sz w:val="28"/>
                <w:szCs w:val="28"/>
                <w:u w:val="single"/>
              </w:rPr>
              <w:t xml:space="preserve">    </w:t>
            </w:r>
            <w:r>
              <w:rPr>
                <w:rFonts w:hint="eastAsia" w:ascii="仿宋_GB2312" w:eastAsia="仿宋_GB2312"/>
                <w:b/>
                <w:color w:val="auto"/>
                <w:sz w:val="28"/>
                <w:szCs w:val="28"/>
              </w:rPr>
              <w:t>月</w:t>
            </w:r>
            <w:r>
              <w:rPr>
                <w:rFonts w:ascii="仿宋_GB2312" w:eastAsia="仿宋_GB2312"/>
                <w:b/>
                <w:color w:val="auto"/>
                <w:sz w:val="28"/>
                <w:szCs w:val="28"/>
                <w:u w:val="single"/>
              </w:rPr>
              <w:t xml:space="preserve">    </w:t>
            </w:r>
            <w:r>
              <w:rPr>
                <w:rFonts w:hint="eastAsia" w:ascii="仿宋_GB2312" w:eastAsia="仿宋_GB2312"/>
                <w:b/>
                <w:color w:val="auto"/>
                <w:sz w:val="28"/>
                <w:szCs w:val="28"/>
              </w:rPr>
              <w:t>日</w:t>
            </w:r>
            <w:r>
              <w:rPr>
                <w:rFonts w:ascii="仿宋_GB2312" w:eastAsia="仿宋_GB2312"/>
                <w:b/>
                <w:color w:val="auto"/>
                <w:sz w:val="28"/>
                <w:szCs w:val="28"/>
                <w:u w:val="single"/>
              </w:rPr>
              <w:t xml:space="preserve">    </w:t>
            </w:r>
            <w:r>
              <w:rPr>
                <w:rFonts w:hint="eastAsia" w:ascii="仿宋_GB2312" w:eastAsia="仿宋_GB2312"/>
                <w:b/>
                <w:color w:val="auto"/>
                <w:sz w:val="28"/>
                <w:szCs w:val="28"/>
              </w:rPr>
              <w:t>时</w:t>
            </w:r>
            <w:r>
              <w:rPr>
                <w:rFonts w:ascii="仿宋_GB2312" w:eastAsia="仿宋_GB2312"/>
                <w:b/>
                <w:color w:val="auto"/>
                <w:sz w:val="28"/>
                <w:szCs w:val="28"/>
                <w:u w:val="single"/>
              </w:rPr>
              <w:t xml:space="preserve">    </w:t>
            </w:r>
            <w:r>
              <w:rPr>
                <w:rFonts w:hint="eastAsia" w:ascii="仿宋_GB2312" w:eastAsia="仿宋_GB2312"/>
                <w:b/>
                <w:color w:val="auto"/>
                <w:sz w:val="28"/>
                <w:szCs w:val="28"/>
              </w:rPr>
              <w:t>分</w:t>
            </w:r>
            <w:r>
              <w:rPr>
                <w:rFonts w:ascii="仿宋_GB2312" w:eastAsia="仿宋_GB2312"/>
                <w:b/>
                <w:color w:val="auto"/>
                <w:sz w:val="28"/>
                <w:szCs w:val="28"/>
              </w:rPr>
              <w:t>)</w:t>
            </w:r>
            <w:r>
              <w:rPr>
                <w:rFonts w:hint="eastAsia" w:ascii="仿宋_GB2312" w:eastAsia="仿宋_GB2312"/>
                <w:b/>
                <w:color w:val="auto"/>
                <w:sz w:val="28"/>
                <w:szCs w:val="28"/>
              </w:rPr>
              <w:t>之前不得启封</w:t>
            </w:r>
          </w:p>
        </w:tc>
      </w:tr>
    </w:tbl>
    <w:p>
      <w:pPr>
        <w:numPr>
          <w:ilvl w:val="0"/>
          <w:numId w:val="0"/>
        </w:numPr>
        <w:adjustRightInd w:val="0"/>
        <w:snapToGrid w:val="0"/>
        <w:spacing w:beforeLines="50" w:afterLines="50" w:line="360" w:lineRule="auto"/>
        <w:jc w:val="center"/>
        <w:outlineLvl w:val="0"/>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br w:type="page"/>
      </w:r>
    </w:p>
    <w:p>
      <w:pPr>
        <w:pStyle w:val="4"/>
        <w:numPr>
          <w:ilvl w:val="1"/>
          <w:numId w:val="0"/>
        </w:numPr>
        <w:spacing w:line="440" w:lineRule="exact"/>
        <w:ind w:leftChars="0"/>
        <w:jc w:val="center"/>
        <w:outlineLvl w:val="1"/>
        <w:rPr>
          <w:rFonts w:hint="eastAsia"/>
          <w:color w:val="auto"/>
          <w:sz w:val="28"/>
          <w:szCs w:val="22"/>
          <w:lang w:eastAsia="zh-CN"/>
        </w:rPr>
      </w:pPr>
      <w:bookmarkStart w:id="340" w:name="_Toc32531"/>
      <w:bookmarkStart w:id="341" w:name="_Toc22540"/>
      <w:bookmarkStart w:id="342" w:name="_Toc26042"/>
      <w:bookmarkStart w:id="343" w:name="_Toc18533_WPSOffice_Level1"/>
      <w:bookmarkStart w:id="344" w:name="_Toc2939"/>
      <w:r>
        <w:rPr>
          <w:rFonts w:hint="eastAsia"/>
          <w:color w:val="auto"/>
          <w:sz w:val="28"/>
          <w:szCs w:val="22"/>
          <w:lang w:eastAsia="zh-CN"/>
        </w:rPr>
        <w:t>响应报价文件目录表</w:t>
      </w:r>
      <w:bookmarkEnd w:id="340"/>
      <w:bookmarkEnd w:id="341"/>
      <w:bookmarkEnd w:id="342"/>
      <w:bookmarkEnd w:id="343"/>
      <w:bookmarkEnd w:id="344"/>
    </w:p>
    <w:tbl>
      <w:tblPr>
        <w:tblStyle w:val="13"/>
        <w:tblW w:w="9228" w:type="dxa"/>
        <w:tblInd w:w="96" w:type="dxa"/>
        <w:tblLayout w:type="fixed"/>
        <w:tblCellMar>
          <w:top w:w="0" w:type="dxa"/>
          <w:left w:w="108" w:type="dxa"/>
          <w:bottom w:w="0" w:type="dxa"/>
          <w:right w:w="108" w:type="dxa"/>
        </w:tblCellMar>
      </w:tblPr>
      <w:tblGrid>
        <w:gridCol w:w="723"/>
        <w:gridCol w:w="6237"/>
        <w:gridCol w:w="851"/>
        <w:gridCol w:w="850"/>
        <w:gridCol w:w="567"/>
      </w:tblGrid>
      <w:tr>
        <w:tblPrEx>
          <w:tblLayout w:type="fixed"/>
        </w:tblPrEx>
        <w:trPr>
          <w:trHeight w:val="510" w:hRule="atLeast"/>
        </w:trPr>
        <w:tc>
          <w:tcPr>
            <w:tcW w:w="723" w:type="dxa"/>
            <w:tcBorders>
              <w:top w:val="single" w:color="auto" w:sz="12" w:space="0"/>
              <w:left w:val="single" w:color="auto" w:sz="12" w:space="0"/>
              <w:bottom w:val="single" w:color="auto" w:sz="4" w:space="0"/>
              <w:right w:val="single" w:color="auto" w:sz="4" w:space="0"/>
            </w:tcBorders>
            <w:shd w:val="clear" w:color="auto" w:fill="D0CECE" w:themeFill="background2" w:themeFillShade="E6"/>
            <w:vAlign w:val="center"/>
          </w:tcPr>
          <w:p>
            <w:pPr>
              <w:widowControl/>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6237" w:type="dxa"/>
            <w:tcBorders>
              <w:top w:val="single" w:color="auto" w:sz="12" w:space="0"/>
              <w:left w:val="nil"/>
              <w:bottom w:val="single" w:color="auto" w:sz="4" w:space="0"/>
              <w:right w:val="single" w:color="auto" w:sz="4" w:space="0"/>
            </w:tcBorders>
            <w:shd w:val="clear" w:color="auto" w:fill="D0CECE" w:themeFill="background2" w:themeFillShade="E6"/>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内      容</w:t>
            </w:r>
          </w:p>
        </w:tc>
        <w:tc>
          <w:tcPr>
            <w:tcW w:w="851" w:type="dxa"/>
            <w:tcBorders>
              <w:top w:val="single" w:color="auto" w:sz="12" w:space="0"/>
              <w:left w:val="nil"/>
              <w:bottom w:val="single" w:color="auto" w:sz="4" w:space="0"/>
              <w:right w:val="single" w:color="auto" w:sz="4" w:space="0"/>
            </w:tcBorders>
            <w:shd w:val="clear" w:color="auto" w:fill="D0CECE" w:themeFill="background2" w:themeFillShade="E6"/>
            <w:vAlign w:val="bottom"/>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是否提交</w:t>
            </w:r>
          </w:p>
        </w:tc>
        <w:tc>
          <w:tcPr>
            <w:tcW w:w="850" w:type="dxa"/>
            <w:tcBorders>
              <w:top w:val="single" w:color="auto" w:sz="12" w:space="0"/>
              <w:left w:val="nil"/>
              <w:bottom w:val="single" w:color="auto" w:sz="4" w:space="0"/>
              <w:right w:val="single" w:color="auto" w:sz="4" w:space="0"/>
            </w:tcBorders>
            <w:shd w:val="clear" w:color="auto" w:fill="D0CECE" w:themeFill="background2" w:themeFillShade="E6"/>
            <w:vAlign w:val="bottom"/>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页码范围</w:t>
            </w:r>
          </w:p>
        </w:tc>
        <w:tc>
          <w:tcPr>
            <w:tcW w:w="567" w:type="dxa"/>
            <w:tcBorders>
              <w:top w:val="single" w:color="auto" w:sz="12" w:space="0"/>
              <w:left w:val="nil"/>
              <w:bottom w:val="single" w:color="auto" w:sz="4" w:space="0"/>
              <w:right w:val="single" w:color="auto" w:sz="12" w:space="0"/>
            </w:tcBorders>
            <w:shd w:val="clear" w:color="auto" w:fill="D0CECE" w:themeFill="background2" w:themeFillShade="E6"/>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备注</w:t>
            </w: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lang w:eastAsia="zh-CN"/>
              </w:rPr>
              <w:t>一、</w:t>
            </w:r>
            <w:r>
              <w:rPr>
                <w:rFonts w:hint="eastAsia" w:asciiTheme="minorEastAsia" w:hAnsiTheme="minorEastAsia" w:eastAsiaTheme="minorEastAsia" w:cstheme="minorEastAsia"/>
                <w:b/>
                <w:bCs/>
                <w:color w:val="auto"/>
                <w:kern w:val="0"/>
                <w:sz w:val="21"/>
                <w:szCs w:val="21"/>
              </w:rPr>
              <w:t>响应报价文件</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6237"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kern w:val="0"/>
                <w:sz w:val="21"/>
                <w:szCs w:val="21"/>
              </w:rPr>
              <w:t>响应函（格式1）</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rPr>
              <w:t>资格性、符合性审查文件</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6237"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kern w:val="0"/>
                <w:sz w:val="21"/>
                <w:szCs w:val="21"/>
              </w:rPr>
              <w:t>法定代表人证明及授权书(格式2)</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p>
        </w:tc>
        <w:tc>
          <w:tcPr>
            <w:tcW w:w="6237"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kern w:val="0"/>
                <w:sz w:val="21"/>
                <w:szCs w:val="21"/>
              </w:rPr>
              <w:t>资格声明函(格式3)</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p>
        </w:tc>
        <w:tc>
          <w:tcPr>
            <w:tcW w:w="6237"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kern w:val="0"/>
                <w:sz w:val="21"/>
                <w:szCs w:val="21"/>
              </w:rPr>
              <w:t>响应人营业执照或事业法人证书副本复印件</w:t>
            </w:r>
            <w:r>
              <w:rPr>
                <w:rFonts w:hint="eastAsia" w:asciiTheme="minorEastAsia" w:hAnsiTheme="minorEastAsia" w:eastAsiaTheme="minorEastAsia" w:cstheme="minorEastAsia"/>
                <w:color w:val="auto"/>
                <w:kern w:val="0"/>
                <w:sz w:val="21"/>
                <w:szCs w:val="21"/>
                <w:highlight w:val="none"/>
              </w:rPr>
              <w:t>（经年检合格）</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组织机构代码证，国、地税务登记证副本复印件（多证合一时只需提供1项）</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w:t>
            </w:r>
          </w:p>
        </w:tc>
        <w:tc>
          <w:tcPr>
            <w:tcW w:w="6237"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bCs/>
                <w:color w:val="auto"/>
                <w:sz w:val="21"/>
                <w:szCs w:val="21"/>
                <w:lang w:val="en-US" w:eastAsia="zh-CN"/>
              </w:rPr>
              <w:t>响应截至前六个月内任意一个月缴纳税收的凭据证明材料复印件（依法免税的，应提供相应文件证明其依法免税）</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w:t>
            </w:r>
          </w:p>
        </w:tc>
        <w:tc>
          <w:tcPr>
            <w:tcW w:w="6237"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bCs/>
                <w:color w:val="auto"/>
                <w:sz w:val="21"/>
                <w:szCs w:val="21"/>
                <w:lang w:eastAsia="zh-CN"/>
              </w:rPr>
              <w:t>实质性</w:t>
            </w:r>
            <w:r>
              <w:rPr>
                <w:rFonts w:hint="eastAsia" w:asciiTheme="minorEastAsia" w:hAnsiTheme="minorEastAsia" w:eastAsiaTheme="minorEastAsia" w:cstheme="minorEastAsia"/>
                <w:color w:val="auto"/>
                <w:sz w:val="21"/>
                <w:szCs w:val="21"/>
              </w:rPr>
              <w:t>条款</w:t>
            </w:r>
            <w:r>
              <w:rPr>
                <w:rFonts w:hint="eastAsia" w:asciiTheme="minorEastAsia" w:hAnsiTheme="minorEastAsia" w:eastAsiaTheme="minorEastAsia" w:cstheme="minorEastAsia"/>
                <w:color w:val="auto"/>
                <w:sz w:val="21"/>
                <w:szCs w:val="21"/>
                <w:lang w:eastAsia="zh-CN"/>
              </w:rPr>
              <w:t>（</w:t>
            </w:r>
            <w:r>
              <w:rPr>
                <w:rFonts w:hint="eastAsia"/>
                <w:bCs/>
                <w:color w:val="auto"/>
                <w:lang w:eastAsia="zh-CN"/>
              </w:rPr>
              <w:t>带</w:t>
            </w:r>
            <w:r>
              <w:rPr>
                <w:rFonts w:ascii="宋体" w:hAnsi="宋体"/>
                <w:bCs/>
                <w:color w:val="auto"/>
                <w:szCs w:val="21"/>
              </w:rPr>
              <w:t>★</w:t>
            </w:r>
            <w:r>
              <w:rPr>
                <w:rFonts w:hint="eastAsia" w:ascii="宋体" w:hAnsi="宋体"/>
                <w:bCs/>
                <w:color w:val="auto"/>
                <w:szCs w:val="21"/>
                <w:lang w:eastAsia="zh-CN"/>
              </w:rPr>
              <w:t>条款）</w:t>
            </w:r>
            <w:r>
              <w:rPr>
                <w:rFonts w:hint="eastAsia" w:asciiTheme="minorEastAsia" w:hAnsiTheme="minorEastAsia" w:eastAsiaTheme="minorEastAsia" w:cstheme="minorEastAsia"/>
                <w:color w:val="auto"/>
                <w:sz w:val="21"/>
                <w:szCs w:val="21"/>
              </w:rPr>
              <w:t>响应一览表(格式4)</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三</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技术</w:t>
            </w:r>
            <w:r>
              <w:rPr>
                <w:rFonts w:hint="eastAsia" w:asciiTheme="minorEastAsia" w:hAnsiTheme="minorEastAsia" w:eastAsiaTheme="minorEastAsia" w:cstheme="minorEastAsia"/>
                <w:b/>
                <w:bCs/>
                <w:color w:val="auto"/>
                <w:kern w:val="0"/>
                <w:sz w:val="21"/>
                <w:szCs w:val="21"/>
              </w:rPr>
              <w:t>文件目录表</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p>
        </w:tc>
        <w:tc>
          <w:tcPr>
            <w:tcW w:w="6237"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kern w:val="0"/>
                <w:sz w:val="21"/>
                <w:szCs w:val="21"/>
              </w:rPr>
              <w:t>同意采购文件条款说明（格式5）</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p>
        </w:tc>
        <w:tc>
          <w:tcPr>
            <w:tcW w:w="6237" w:type="dxa"/>
            <w:tcBorders>
              <w:top w:val="single" w:color="auto" w:sz="4" w:space="0"/>
              <w:left w:val="nil"/>
              <w:bottom w:val="single" w:color="auto" w:sz="4" w:space="0"/>
              <w:right w:val="single" w:color="auto" w:sz="4" w:space="0"/>
            </w:tcBorders>
            <w:vAlign w:val="center"/>
          </w:tcPr>
          <w:p>
            <w:pPr>
              <w:widowControl/>
              <w:tabs>
                <w:tab w:val="left" w:pos="700"/>
              </w:tabs>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sym w:font="Wingdings" w:char="F076"/>
            </w:r>
            <w:r>
              <w:rPr>
                <w:rFonts w:hint="eastAsia" w:asciiTheme="minorEastAsia" w:hAnsiTheme="minorEastAsia" w:eastAsiaTheme="minorEastAsia" w:cstheme="minorEastAsia"/>
                <w:color w:val="auto"/>
                <w:kern w:val="0"/>
                <w:sz w:val="21"/>
                <w:szCs w:val="21"/>
              </w:rPr>
              <w:t>货物技术参数响应一览表（格式6）</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b/>
                <w:bCs/>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nil"/>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p>
        </w:tc>
        <w:tc>
          <w:tcPr>
            <w:tcW w:w="6237" w:type="dxa"/>
            <w:tcBorders>
              <w:top w:val="nil"/>
              <w:left w:val="nil"/>
              <w:bottom w:val="single" w:color="auto" w:sz="4" w:space="0"/>
              <w:right w:val="single" w:color="auto" w:sz="4" w:space="0"/>
            </w:tcBorders>
            <w:vAlign w:val="center"/>
          </w:tcPr>
          <w:p>
            <w:pPr>
              <w:widowControl/>
              <w:tabs>
                <w:tab w:val="left" w:pos="700"/>
              </w:tabs>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sym w:font="Wingdings" w:char="F076"/>
            </w:r>
            <w:r>
              <w:rPr>
                <w:rFonts w:hint="eastAsia" w:asciiTheme="minorEastAsia" w:hAnsiTheme="minorEastAsia" w:eastAsiaTheme="minorEastAsia" w:cstheme="minorEastAsia"/>
                <w:color w:val="auto"/>
                <w:kern w:val="0"/>
                <w:sz w:val="21"/>
                <w:szCs w:val="21"/>
                <w:lang w:val="en-US" w:eastAsia="zh-CN"/>
              </w:rPr>
              <w:t>货物技术</w:t>
            </w:r>
            <w:r>
              <w:rPr>
                <w:rFonts w:hint="eastAsia" w:asciiTheme="minorEastAsia" w:hAnsiTheme="minorEastAsia" w:eastAsiaTheme="minorEastAsia" w:cstheme="minorEastAsia"/>
                <w:color w:val="auto"/>
                <w:kern w:val="0"/>
                <w:sz w:val="21"/>
                <w:szCs w:val="21"/>
              </w:rPr>
              <w:t>服务方案</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格式7）</w:t>
            </w:r>
          </w:p>
        </w:tc>
        <w:tc>
          <w:tcPr>
            <w:tcW w:w="85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85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567" w:type="dxa"/>
            <w:tcBorders>
              <w:top w:val="nil"/>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nil"/>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4</w:t>
            </w:r>
          </w:p>
        </w:tc>
        <w:tc>
          <w:tcPr>
            <w:tcW w:w="6237" w:type="dxa"/>
            <w:tcBorders>
              <w:top w:val="nil"/>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响应人认为需要提交的其他资料</w:t>
            </w:r>
          </w:p>
        </w:tc>
        <w:tc>
          <w:tcPr>
            <w:tcW w:w="851"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85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567" w:type="dxa"/>
            <w:tcBorders>
              <w:top w:val="nil"/>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四</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商务</w:t>
            </w:r>
            <w:r>
              <w:rPr>
                <w:rFonts w:hint="eastAsia" w:asciiTheme="minorEastAsia" w:hAnsiTheme="minorEastAsia" w:eastAsiaTheme="minorEastAsia" w:cstheme="minorEastAsia"/>
                <w:b/>
                <w:bCs/>
                <w:color w:val="auto"/>
                <w:kern w:val="0"/>
                <w:sz w:val="21"/>
                <w:szCs w:val="21"/>
              </w:rPr>
              <w:t>文件目录表</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p>
        </w:tc>
        <w:tc>
          <w:tcPr>
            <w:tcW w:w="6237" w:type="dxa"/>
            <w:tcBorders>
              <w:top w:val="single" w:color="auto" w:sz="4" w:space="0"/>
              <w:left w:val="nil"/>
              <w:bottom w:val="single" w:color="auto" w:sz="4" w:space="0"/>
              <w:right w:val="single" w:color="auto" w:sz="4" w:space="0"/>
            </w:tcBorders>
            <w:textDirection w:val="lrTb"/>
            <w:vAlign w:val="center"/>
          </w:tcPr>
          <w:p>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kern w:val="0"/>
                <w:sz w:val="21"/>
                <w:szCs w:val="21"/>
              </w:rPr>
              <w:t>201</w:t>
            </w: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年至今同类项目业绩情况一览表（格式</w:t>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p>
        </w:tc>
        <w:tc>
          <w:tcPr>
            <w:tcW w:w="6237" w:type="dxa"/>
            <w:tcBorders>
              <w:top w:val="single" w:color="auto" w:sz="4" w:space="0"/>
              <w:left w:val="nil"/>
              <w:bottom w:val="single" w:color="auto" w:sz="4" w:space="0"/>
              <w:right w:val="single" w:color="auto" w:sz="4" w:space="0"/>
            </w:tcBorders>
            <w:textDirection w:val="lrTb"/>
            <w:vAlign w:val="center"/>
          </w:tcPr>
          <w:p>
            <w:pPr>
              <w:widowControl/>
              <w:tabs>
                <w:tab w:val="left" w:pos="700"/>
              </w:tabs>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kern w:val="0"/>
                <w:sz w:val="21"/>
                <w:szCs w:val="21"/>
              </w:rPr>
              <w:t>拟派本项目负责人及主要人员情况表（格式</w:t>
            </w:r>
            <w:r>
              <w:rPr>
                <w:rFonts w:hint="eastAsia" w:asciiTheme="minorEastAsia" w:hAnsiTheme="minorEastAsia" w:eastAsiaTheme="minorEastAsia" w:cstheme="minorEastAsia"/>
                <w:color w:val="auto"/>
                <w:kern w:val="0"/>
                <w:sz w:val="21"/>
                <w:szCs w:val="21"/>
                <w:lang w:val="en-US" w:eastAsia="zh-CN"/>
              </w:rPr>
              <w:t>9</w:t>
            </w:r>
            <w:r>
              <w:rPr>
                <w:rFonts w:hint="eastAsia" w:asciiTheme="minorEastAsia" w:hAnsiTheme="minorEastAsia" w:eastAsiaTheme="minorEastAsia" w:cstheme="minorEastAsia"/>
                <w:color w:val="auto"/>
                <w:kern w:val="0"/>
                <w:sz w:val="21"/>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3</w:t>
            </w:r>
          </w:p>
        </w:tc>
        <w:tc>
          <w:tcPr>
            <w:tcW w:w="6237" w:type="dxa"/>
            <w:tcBorders>
              <w:top w:val="single" w:color="auto" w:sz="4" w:space="0"/>
              <w:left w:val="nil"/>
              <w:bottom w:val="single" w:color="auto" w:sz="4" w:space="0"/>
              <w:right w:val="single" w:color="auto" w:sz="4" w:space="0"/>
            </w:tcBorders>
            <w:vAlign w:val="center"/>
          </w:tcPr>
          <w:p>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sz w:val="21"/>
                <w:szCs w:val="21"/>
              </w:rPr>
              <w:t>与采购人需求差异表（格式10）</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12" w:space="0"/>
              <w:right w:val="single" w:color="auto" w:sz="4" w:space="0"/>
            </w:tcBorders>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w:t>
            </w:r>
          </w:p>
        </w:tc>
        <w:tc>
          <w:tcPr>
            <w:tcW w:w="6237" w:type="dxa"/>
            <w:tcBorders>
              <w:top w:val="single" w:color="auto" w:sz="4" w:space="0"/>
              <w:left w:val="nil"/>
              <w:bottom w:val="single" w:color="auto" w:sz="12" w:space="0"/>
              <w:right w:val="single" w:color="auto" w:sz="4" w:space="0"/>
            </w:tcBorders>
            <w:vAlign w:val="center"/>
          </w:tcPr>
          <w:p>
            <w:pPr>
              <w:widowControl/>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响应人认为需要提交的其他资料</w:t>
            </w:r>
          </w:p>
        </w:tc>
        <w:tc>
          <w:tcPr>
            <w:tcW w:w="851" w:type="dxa"/>
            <w:tcBorders>
              <w:top w:val="single" w:color="auto" w:sz="4" w:space="0"/>
              <w:left w:val="nil"/>
              <w:bottom w:val="single" w:color="auto" w:sz="12"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850" w:type="dxa"/>
            <w:tcBorders>
              <w:top w:val="single" w:color="auto" w:sz="4" w:space="0"/>
              <w:left w:val="nil"/>
              <w:bottom w:val="single" w:color="auto" w:sz="12"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c>
          <w:tcPr>
            <w:tcW w:w="567" w:type="dxa"/>
            <w:tcBorders>
              <w:top w:val="single" w:color="auto" w:sz="4" w:space="0"/>
              <w:left w:val="nil"/>
              <w:bottom w:val="single" w:color="auto" w:sz="12" w:space="0"/>
              <w:right w:val="single" w:color="auto" w:sz="12" w:space="0"/>
            </w:tcBorders>
            <w:vAlign w:val="center"/>
          </w:tcPr>
          <w:p>
            <w:pPr>
              <w:widowControl/>
              <w:jc w:val="center"/>
              <w:rPr>
                <w:rFonts w:hint="eastAsia" w:asciiTheme="minorEastAsia" w:hAnsiTheme="minorEastAsia" w:eastAsiaTheme="minorEastAsia" w:cstheme="minorEastAsia"/>
                <w:color w:val="auto"/>
                <w:kern w:val="0"/>
                <w:sz w:val="21"/>
                <w:szCs w:val="21"/>
              </w:rPr>
            </w:pPr>
          </w:p>
        </w:tc>
      </w:tr>
    </w:tbl>
    <w:p>
      <w:pPr>
        <w:pStyle w:val="7"/>
        <w:spacing w:before="240"/>
        <w:ind w:firstLine="0"/>
        <w:rPr>
          <w:rFonts w:hint="eastAsia" w:asciiTheme="minorEastAsia" w:hAnsiTheme="minorEastAsia" w:eastAsiaTheme="minorEastAsia" w:cstheme="minorEastAsia"/>
          <w:b/>
          <w:bCs/>
          <w:color w:val="auto"/>
          <w:sz w:val="21"/>
          <w:szCs w:val="21"/>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jc w:val="both"/>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sz w:val="21"/>
          <w:szCs w:val="21"/>
        </w:rPr>
        <w:t>注：</w:t>
      </w:r>
      <w:r>
        <w:rPr>
          <w:rFonts w:hint="eastAsia" w:asciiTheme="minorEastAsia" w:hAnsiTheme="minorEastAsia" w:eastAsiaTheme="minorEastAsia" w:cstheme="minorEastAsia"/>
          <w:color w:val="auto"/>
          <w:kern w:val="0"/>
          <w:sz w:val="21"/>
          <w:szCs w:val="21"/>
        </w:rPr>
        <w:t>（1）带“</w:t>
      </w:r>
      <w:r>
        <w:rPr>
          <w:rFonts w:hint="eastAsia" w:asciiTheme="minorEastAsia" w:hAnsiTheme="minorEastAsia" w:eastAsiaTheme="minorEastAsia" w:cstheme="minorEastAsia"/>
          <w:bCs/>
          <w:color w:val="auto"/>
          <w:sz w:val="21"/>
          <w:szCs w:val="21"/>
        </w:rPr>
        <w:sym w:font="Wingdings" w:char="F076"/>
      </w:r>
      <w:r>
        <w:rPr>
          <w:rFonts w:hint="eastAsia" w:asciiTheme="minorEastAsia" w:hAnsiTheme="minorEastAsia" w:eastAsiaTheme="minorEastAsia" w:cstheme="minorEastAsia"/>
          <w:color w:val="auto"/>
          <w:kern w:val="0"/>
          <w:sz w:val="21"/>
          <w:szCs w:val="21"/>
        </w:rPr>
        <w:t>”文件为必须提供的文件；</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5" w:firstLineChars="212"/>
        <w:jc w:val="both"/>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（2）上述文件如为复印件的，必须加盖响应人公章；</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11" w:firstLineChars="196"/>
        <w:jc w:val="both"/>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（3）响应人应自行承担所提供上述资料任何错漏而导致的一切后果；</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11" w:firstLineChars="196"/>
        <w:jc w:val="both"/>
        <w:textAlignment w:val="auto"/>
        <w:outlineLvl w:val="9"/>
        <w:rPr>
          <w:rFonts w:hint="eastAsia" w:asciiTheme="minorEastAsia" w:hAnsiTheme="minorEastAsia" w:eastAsiaTheme="minorEastAsia" w:cstheme="minorEastAsia"/>
          <w:color w:val="auto"/>
          <w:kern w:val="0"/>
          <w:sz w:val="21"/>
          <w:szCs w:val="21"/>
        </w:rPr>
        <w:sectPr>
          <w:headerReference r:id="rId5" w:type="default"/>
          <w:footerReference r:id="rId6" w:type="default"/>
          <w:pgSz w:w="11907" w:h="16840"/>
          <w:pgMar w:top="1417" w:right="1304" w:bottom="1361" w:left="1361" w:header="737" w:footer="454" w:gutter="0"/>
          <w:pgBorders>
            <w:top w:val="none" w:color="auto" w:sz="0" w:space="0"/>
            <w:left w:val="none" w:color="auto" w:sz="0" w:space="0"/>
            <w:bottom w:val="none" w:color="auto" w:sz="0" w:space="0"/>
            <w:right w:val="none" w:color="auto" w:sz="0" w:space="0"/>
          </w:pgBorders>
          <w:pgNumType w:fmt="decimal"/>
          <w:cols w:space="720" w:num="1"/>
          <w:docGrid w:linePitch="285" w:charSpace="0"/>
        </w:sectPr>
      </w:pPr>
      <w:r>
        <w:rPr>
          <w:rFonts w:hint="eastAsia" w:asciiTheme="minorEastAsia" w:hAnsiTheme="minorEastAsia" w:eastAsiaTheme="minorEastAsia" w:cstheme="minorEastAsia"/>
          <w:color w:val="auto"/>
          <w:kern w:val="0"/>
          <w:sz w:val="21"/>
          <w:szCs w:val="21"/>
        </w:rPr>
        <w:t>（4）响应人请按照上述顺序编好页码。</w:t>
      </w:r>
    </w:p>
    <w:p>
      <w:pPr>
        <w:snapToGrid w:val="0"/>
        <w:spacing w:before="240" w:line="360" w:lineRule="auto"/>
        <w:outlineLvl w:val="1"/>
        <w:rPr>
          <w:rFonts w:hint="eastAsia" w:asciiTheme="minorEastAsia" w:hAnsiTheme="minorEastAsia" w:eastAsiaTheme="minorEastAsia" w:cstheme="minorEastAsia"/>
          <w:b/>
          <w:color w:val="auto"/>
          <w:sz w:val="28"/>
          <w:szCs w:val="28"/>
        </w:rPr>
      </w:pPr>
      <w:bookmarkStart w:id="345" w:name="_Toc2341665"/>
      <w:bookmarkStart w:id="346" w:name="_Toc2341752"/>
      <w:bookmarkStart w:id="347" w:name="_Toc28488"/>
      <w:bookmarkStart w:id="348" w:name="_Toc21048_WPSOffice_Level1"/>
      <w:bookmarkStart w:id="349" w:name="_Toc2341914"/>
      <w:bookmarkStart w:id="350" w:name="_Toc19190"/>
      <w:bookmarkStart w:id="351" w:name="_Toc2341345"/>
      <w:bookmarkStart w:id="352" w:name="_Toc14255"/>
      <w:bookmarkStart w:id="353" w:name="_Toc2286"/>
      <w:bookmarkStart w:id="354" w:name="_Toc533236395"/>
      <w:bookmarkStart w:id="355" w:name="_Toc334797768"/>
      <w:r>
        <w:rPr>
          <w:rFonts w:hint="eastAsia" w:asciiTheme="minorEastAsia" w:hAnsiTheme="minorEastAsia" w:eastAsiaTheme="minorEastAsia" w:cstheme="minorEastAsia"/>
          <w:b w:val="0"/>
          <w:bCs/>
          <w:color w:val="auto"/>
          <w:sz w:val="24"/>
          <w:szCs w:val="24"/>
        </w:rPr>
        <w:t>格式1：响应函</w:t>
      </w:r>
      <w:bookmarkEnd w:id="345"/>
      <w:bookmarkEnd w:id="346"/>
      <w:bookmarkEnd w:id="347"/>
      <w:bookmarkEnd w:id="348"/>
      <w:bookmarkEnd w:id="349"/>
      <w:bookmarkEnd w:id="350"/>
      <w:bookmarkEnd w:id="351"/>
      <w:bookmarkEnd w:id="352"/>
      <w:bookmarkEnd w:id="353"/>
      <w:r>
        <w:rPr>
          <w:rFonts w:hint="eastAsia" w:asciiTheme="minorEastAsia" w:hAnsiTheme="minorEastAsia" w:eastAsiaTheme="minorEastAsia" w:cstheme="minorEastAsia"/>
          <w:b/>
          <w:color w:val="auto"/>
          <w:sz w:val="28"/>
          <w:szCs w:val="28"/>
        </w:rPr>
        <w:t xml:space="preserve"> </w:t>
      </w:r>
      <w:bookmarkEnd w:id="354"/>
      <w:bookmarkEnd w:id="355"/>
    </w:p>
    <w:p>
      <w:pPr>
        <w:spacing w:after="240"/>
        <w:jc w:val="center"/>
        <w:rPr>
          <w:rFonts w:hint="eastAsia" w:ascii="黑体" w:hAnsi="黑体" w:eastAsia="黑体" w:cs="黑体"/>
          <w:color w:val="auto"/>
          <w:sz w:val="30"/>
          <w:szCs w:val="30"/>
          <w:highlight w:val="yellow"/>
        </w:rPr>
      </w:pPr>
      <w:r>
        <w:rPr>
          <w:rFonts w:hint="eastAsia" w:ascii="黑体" w:hAnsi="黑体" w:eastAsia="黑体" w:cs="黑体"/>
          <w:color w:val="auto"/>
          <w:sz w:val="30"/>
          <w:szCs w:val="30"/>
        </w:rPr>
        <w:t>响 应 函</w:t>
      </w:r>
    </w:p>
    <w:p>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致</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color w:val="auto"/>
          <w:sz w:val="21"/>
          <w:szCs w:val="21"/>
        </w:rPr>
        <w:t>广州检验检测认证集团有限公司</w:t>
      </w:r>
    </w:p>
    <w:p>
      <w:pPr>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根据</w:t>
      </w:r>
      <w:r>
        <w:rPr>
          <w:rFonts w:hint="eastAsia" w:asciiTheme="minorEastAsia" w:hAnsiTheme="minorEastAsia" w:eastAsiaTheme="minorEastAsia" w:cstheme="minorEastAsia"/>
          <w:color w:val="auto"/>
          <w:sz w:val="21"/>
          <w:szCs w:val="21"/>
          <w:lang w:val="en-US" w:eastAsia="zh-CN"/>
        </w:rPr>
        <w:t>贵</w:t>
      </w:r>
      <w:r>
        <w:rPr>
          <w:rFonts w:hint="eastAsia" w:asciiTheme="minorEastAsia" w:hAnsiTheme="minorEastAsia" w:eastAsiaTheme="minorEastAsia" w:cstheme="minorEastAsia"/>
          <w:color w:val="auto"/>
          <w:sz w:val="21"/>
          <w:szCs w:val="21"/>
        </w:rPr>
        <w:t>方</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项目的采购文件要求，现正式授权</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i/>
          <w:color w:val="auto"/>
          <w:sz w:val="21"/>
          <w:szCs w:val="21"/>
          <w:u w:val="single"/>
        </w:rPr>
        <w:t>（被授权人职务及名称）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以</w:t>
      </w:r>
      <w:r>
        <w:rPr>
          <w:rFonts w:hint="eastAsia" w:asciiTheme="minorEastAsia" w:hAnsiTheme="minorEastAsia" w:eastAsiaTheme="minorEastAsia" w:cstheme="minorEastAsia"/>
          <w:color w:val="auto"/>
          <w:sz w:val="21"/>
          <w:szCs w:val="21"/>
          <w:highlight w:val="none"/>
        </w:rPr>
        <w:t>响应人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i/>
          <w:color w:val="auto"/>
          <w:sz w:val="21"/>
          <w:szCs w:val="21"/>
          <w:highlight w:val="none"/>
          <w:u w:val="single"/>
        </w:rPr>
        <w:t>（响应人单位名称）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的名义全权代表我方参加响应上述项目。</w:t>
      </w:r>
    </w:p>
    <w:p>
      <w:pPr>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现依照</w:t>
      </w:r>
      <w:r>
        <w:rPr>
          <w:rFonts w:hint="eastAsia" w:asciiTheme="minorEastAsia" w:hAnsiTheme="minorEastAsia" w:eastAsiaTheme="minorEastAsia" w:cstheme="minorEastAsia"/>
          <w:color w:val="auto"/>
          <w:sz w:val="21"/>
          <w:szCs w:val="21"/>
          <w:highlight w:val="none"/>
          <w:lang w:eastAsia="zh-CN"/>
        </w:rPr>
        <w:t>贵</w:t>
      </w:r>
      <w:r>
        <w:rPr>
          <w:rFonts w:hint="eastAsia" w:asciiTheme="minorEastAsia" w:hAnsiTheme="minorEastAsia" w:eastAsiaTheme="minorEastAsia" w:cstheme="minorEastAsia"/>
          <w:color w:val="auto"/>
          <w:sz w:val="21"/>
          <w:szCs w:val="21"/>
          <w:highlight w:val="none"/>
        </w:rPr>
        <w:t>方采购文件要求，提交响应文件正本</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rPr>
        <w:t>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副本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2 </w:t>
      </w:r>
      <w:r>
        <w:rPr>
          <w:rFonts w:hint="eastAsia" w:asciiTheme="minorEastAsia" w:hAnsiTheme="minorEastAsia" w:eastAsiaTheme="minorEastAsia" w:cstheme="minorEastAsia"/>
          <w:color w:val="auto"/>
          <w:sz w:val="21"/>
          <w:szCs w:val="21"/>
          <w:highlight w:val="none"/>
        </w:rPr>
        <w:t>份</w:t>
      </w:r>
      <w:r>
        <w:rPr>
          <w:rFonts w:hint="eastAsia" w:asciiTheme="minorEastAsia" w:hAnsiTheme="minorEastAsia" w:eastAsiaTheme="minorEastAsia" w:cstheme="minorEastAsia"/>
          <w:color w:val="auto"/>
          <w:sz w:val="21"/>
          <w:szCs w:val="21"/>
          <w:highlight w:val="none"/>
          <w:lang w:eastAsia="zh-CN"/>
        </w:rPr>
        <w:t>，电子文件</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1 </w:t>
      </w:r>
      <w:r>
        <w:rPr>
          <w:rFonts w:hint="eastAsia" w:asciiTheme="minorEastAsia" w:hAnsiTheme="minorEastAsia" w:eastAsiaTheme="minorEastAsia" w:cstheme="minorEastAsia"/>
          <w:color w:val="auto"/>
          <w:sz w:val="21"/>
          <w:szCs w:val="21"/>
          <w:highlight w:val="none"/>
        </w:rPr>
        <w:t>份。我方在此声明并同意：</w:t>
      </w:r>
    </w:p>
    <w:p>
      <w:pPr>
        <w:numPr>
          <w:ilvl w:val="0"/>
          <w:numId w:val="16"/>
        </w:numPr>
        <w:spacing w:before="24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我方决定参加响应，响应报价</w:t>
      </w:r>
      <w:r>
        <w:rPr>
          <w:rFonts w:hint="eastAsia" w:asciiTheme="minorEastAsia" w:hAnsiTheme="minorEastAsia" w:eastAsiaTheme="minorEastAsia" w:cstheme="minorEastAsia"/>
          <w:color w:val="auto"/>
          <w:sz w:val="21"/>
          <w:szCs w:val="21"/>
          <w:highlight w:val="none"/>
          <w:lang w:val="en-US" w:eastAsia="zh-CN"/>
        </w:rPr>
        <w:t>明细如下</w:t>
      </w:r>
      <w:r>
        <w:rPr>
          <w:rFonts w:hint="eastAsia" w:asciiTheme="minorEastAsia" w:hAnsiTheme="minorEastAsia" w:eastAsiaTheme="minorEastAsia" w:cstheme="minorEastAsia"/>
          <w:color w:val="auto"/>
          <w:sz w:val="21"/>
          <w:szCs w:val="21"/>
          <w:highlight w:val="none"/>
        </w:rPr>
        <w:t>：</w:t>
      </w:r>
    </w:p>
    <w:p>
      <w:pPr>
        <w:pStyle w:val="2"/>
        <w:widowControl w:val="0"/>
        <w:numPr>
          <w:ilvl w:val="0"/>
          <w:numId w:val="0"/>
        </w:numPr>
        <w:spacing w:before="25" w:after="25"/>
        <w:jc w:val="left"/>
        <w:rPr>
          <w:rFonts w:hint="eastAsia"/>
          <w:color w:val="auto"/>
        </w:rPr>
      </w:pPr>
    </w:p>
    <w:tbl>
      <w:tblPr>
        <w:tblStyle w:val="13"/>
        <w:tblW w:w="9809" w:type="dxa"/>
        <w:tblInd w:w="-53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625"/>
        <w:gridCol w:w="812"/>
        <w:gridCol w:w="1725"/>
        <w:gridCol w:w="875"/>
        <w:gridCol w:w="1625"/>
        <w:gridCol w:w="1663"/>
        <w:gridCol w:w="7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22" w:type="dxa"/>
            <w:shd w:val="clear" w:color="auto" w:fill="CFCECE" w:themeFill="background2" w:themeFillShade="E5"/>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1625" w:type="dxa"/>
            <w:shd w:val="clear" w:color="auto" w:fill="CFCECE" w:themeFill="background2" w:themeFillShade="E5"/>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采购内容</w:t>
            </w:r>
          </w:p>
        </w:tc>
        <w:tc>
          <w:tcPr>
            <w:tcW w:w="812" w:type="dxa"/>
            <w:shd w:val="clear" w:color="auto" w:fill="CFCECE" w:themeFill="background2" w:themeFillShade="E5"/>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数量</w:t>
            </w:r>
          </w:p>
        </w:tc>
        <w:tc>
          <w:tcPr>
            <w:tcW w:w="1725" w:type="dxa"/>
            <w:shd w:val="clear" w:color="auto" w:fill="CFCECE" w:themeFill="background2" w:themeFillShade="E5"/>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品牌型号</w:t>
            </w:r>
          </w:p>
        </w:tc>
        <w:tc>
          <w:tcPr>
            <w:tcW w:w="875" w:type="dxa"/>
            <w:shd w:val="clear" w:color="auto" w:fill="CFCECE" w:themeFill="background2" w:themeFillShade="E5"/>
            <w:vAlign w:val="center"/>
          </w:tcPr>
          <w:p>
            <w:pPr>
              <w:widowControl/>
              <w:jc w:val="center"/>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rPr>
              <w:t>产地</w:t>
            </w:r>
          </w:p>
        </w:tc>
        <w:tc>
          <w:tcPr>
            <w:tcW w:w="1625" w:type="dxa"/>
            <w:shd w:val="clear" w:color="auto" w:fill="CFCECE" w:themeFill="background2" w:themeFillShade="E5"/>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单价报价</w:t>
            </w:r>
          </w:p>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（人民币 元）</w:t>
            </w:r>
          </w:p>
        </w:tc>
        <w:tc>
          <w:tcPr>
            <w:tcW w:w="1663" w:type="dxa"/>
            <w:shd w:val="clear" w:color="auto" w:fill="CFCECE" w:themeFill="background2" w:themeFillShade="E5"/>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lang w:val="en-US" w:eastAsia="zh-CN"/>
              </w:rPr>
              <w:t>总</w:t>
            </w:r>
            <w:r>
              <w:rPr>
                <w:rFonts w:hint="eastAsia" w:asciiTheme="minorEastAsia" w:hAnsiTheme="minorEastAsia" w:eastAsiaTheme="minorEastAsia" w:cstheme="minorEastAsia"/>
                <w:b/>
                <w:bCs/>
                <w:color w:val="auto"/>
                <w:kern w:val="0"/>
                <w:sz w:val="21"/>
                <w:szCs w:val="21"/>
              </w:rPr>
              <w:t>报价</w:t>
            </w:r>
          </w:p>
          <w:p>
            <w:pPr>
              <w:widowControl/>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rPr>
              <w:t>（人民币/元）</w:t>
            </w:r>
          </w:p>
        </w:tc>
        <w:tc>
          <w:tcPr>
            <w:tcW w:w="762" w:type="dxa"/>
            <w:shd w:val="clear" w:color="auto" w:fill="CFCECE" w:themeFill="background2" w:themeFillShade="E5"/>
            <w:vAlign w:val="center"/>
          </w:tcPr>
          <w:p>
            <w:pPr>
              <w:widowControl/>
              <w:jc w:val="center"/>
              <w:rPr>
                <w:rFonts w:hint="eastAsia" w:asciiTheme="minorEastAsia" w:hAnsiTheme="minorEastAsia" w:eastAsiaTheme="minorEastAsia" w:cstheme="minorEastAsia"/>
                <w:b/>
                <w:bCs/>
                <w:color w:val="auto"/>
                <w:kern w:val="0"/>
                <w:sz w:val="21"/>
                <w:szCs w:val="21"/>
                <w:lang w:eastAsia="zh-CN"/>
              </w:rPr>
            </w:pPr>
            <w:r>
              <w:rPr>
                <w:rFonts w:hint="eastAsia" w:asciiTheme="minorEastAsia" w:hAnsiTheme="minorEastAsia" w:eastAsiaTheme="minorEastAsia" w:cstheme="minorEastAsia"/>
                <w:b/>
                <w:bCs/>
                <w:color w:val="auto"/>
                <w:kern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8" w:hRule="atLeast"/>
        </w:trPr>
        <w:tc>
          <w:tcPr>
            <w:tcW w:w="722" w:type="dxa"/>
            <w:shd w:val="clear" w:color="auto" w:fill="auto"/>
            <w:vAlign w:val="center"/>
          </w:tcPr>
          <w:p>
            <w:pPr>
              <w:pStyle w:val="19"/>
              <w:numPr>
                <w:ilvl w:val="0"/>
                <w:numId w:val="0"/>
              </w:numPr>
              <w:spacing w:line="360" w:lineRule="auto"/>
              <w:ind w:leftChars="0"/>
              <w:jc w:val="center"/>
              <w:rPr>
                <w:rFonts w:hint="eastAsia" w:eastAsia="宋体" w:asciiTheme="minorEastAsia" w:hAnsiTheme="minorEastAsia"/>
                <w:color w:val="auto"/>
                <w:lang w:val="en-US" w:eastAsia="zh-CN"/>
              </w:rPr>
            </w:pPr>
            <w:r>
              <w:rPr>
                <w:rFonts w:hint="eastAsia" w:asciiTheme="minorEastAsia" w:hAnsiTheme="minorEastAsia"/>
                <w:color w:val="auto"/>
                <w:lang w:val="en-US" w:eastAsia="zh-CN"/>
              </w:rPr>
              <w:t>1</w:t>
            </w:r>
          </w:p>
        </w:tc>
        <w:tc>
          <w:tcPr>
            <w:tcW w:w="1625" w:type="dxa"/>
            <w:shd w:val="clear" w:color="auto" w:fill="auto"/>
            <w:vAlign w:val="center"/>
          </w:tcPr>
          <w:p>
            <w:pPr>
              <w:spacing w:line="360" w:lineRule="auto"/>
              <w:jc w:val="center"/>
              <w:rPr>
                <w:rFonts w:asciiTheme="minorEastAsia" w:hAnsiTheme="minorEastAsia"/>
                <w:color w:val="auto"/>
                <w:szCs w:val="21"/>
              </w:rPr>
            </w:pPr>
            <w:r>
              <w:rPr>
                <w:rFonts w:hint="eastAsia" w:asciiTheme="minorEastAsia" w:hAnsiTheme="minorEastAsia" w:eastAsiaTheme="minorEastAsia" w:cstheme="minorEastAsia"/>
                <w:color w:val="auto"/>
                <w:sz w:val="21"/>
                <w:szCs w:val="21"/>
                <w:highlight w:val="none"/>
                <w:lang w:val="en-US" w:eastAsia="zh-CN"/>
              </w:rPr>
              <w:t>应用服务器</w:t>
            </w:r>
          </w:p>
        </w:tc>
        <w:tc>
          <w:tcPr>
            <w:tcW w:w="812" w:type="dxa"/>
            <w:shd w:val="clear" w:color="auto" w:fill="auto"/>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lang w:val="en-US" w:eastAsia="zh-CN"/>
              </w:rPr>
              <w:t>1</w:t>
            </w:r>
            <w:r>
              <w:rPr>
                <w:rFonts w:hint="eastAsia" w:ascii="宋体" w:hAnsi="宋体"/>
                <w:color w:val="auto"/>
                <w:szCs w:val="21"/>
              </w:rPr>
              <w:t>台</w:t>
            </w:r>
          </w:p>
        </w:tc>
        <w:tc>
          <w:tcPr>
            <w:tcW w:w="1725" w:type="dxa"/>
            <w:vAlign w:val="center"/>
          </w:tcPr>
          <w:p>
            <w:pPr>
              <w:spacing w:line="360" w:lineRule="auto"/>
              <w:jc w:val="center"/>
              <w:rPr>
                <w:rFonts w:asciiTheme="minorEastAsia" w:hAnsiTheme="minorEastAsia"/>
                <w:color w:val="auto"/>
              </w:rPr>
            </w:pPr>
          </w:p>
        </w:tc>
        <w:tc>
          <w:tcPr>
            <w:tcW w:w="875" w:type="dxa"/>
            <w:vAlign w:val="center"/>
          </w:tcPr>
          <w:p>
            <w:pPr>
              <w:spacing w:line="360" w:lineRule="auto"/>
              <w:jc w:val="center"/>
              <w:rPr>
                <w:rFonts w:asciiTheme="minorEastAsia" w:hAnsiTheme="minorEastAsia"/>
                <w:color w:val="auto"/>
              </w:rPr>
            </w:pPr>
          </w:p>
        </w:tc>
        <w:tc>
          <w:tcPr>
            <w:tcW w:w="1625" w:type="dxa"/>
            <w:shd w:val="clear" w:color="auto" w:fill="auto"/>
            <w:vAlign w:val="center"/>
          </w:tcPr>
          <w:p>
            <w:pPr>
              <w:spacing w:line="360" w:lineRule="auto"/>
              <w:jc w:val="center"/>
              <w:rPr>
                <w:rFonts w:asciiTheme="minorEastAsia" w:hAnsiTheme="minorEastAsia"/>
                <w:color w:val="auto"/>
              </w:rPr>
            </w:pPr>
          </w:p>
        </w:tc>
        <w:tc>
          <w:tcPr>
            <w:tcW w:w="1663" w:type="dxa"/>
            <w:vMerge w:val="restart"/>
            <w:shd w:val="clear" w:color="auto" w:fill="auto"/>
            <w:vAlign w:val="center"/>
          </w:tcPr>
          <w:p>
            <w:pPr>
              <w:spacing w:line="360" w:lineRule="auto"/>
              <w:jc w:val="center"/>
              <w:rPr>
                <w:rFonts w:asciiTheme="minorEastAsia" w:hAnsiTheme="minorEastAsia"/>
                <w:color w:val="auto"/>
              </w:rPr>
            </w:pPr>
          </w:p>
        </w:tc>
        <w:tc>
          <w:tcPr>
            <w:tcW w:w="762" w:type="dxa"/>
            <w:vMerge w:val="restart"/>
            <w:shd w:val="clear" w:color="auto" w:fill="auto"/>
            <w:vAlign w:val="center"/>
          </w:tcPr>
          <w:p>
            <w:pPr>
              <w:spacing w:line="360" w:lineRule="auto"/>
              <w:jc w:val="center"/>
              <w:rPr>
                <w:rFonts w:asciiTheme="minorEastAsia" w:hAnsi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trPr>
        <w:tc>
          <w:tcPr>
            <w:tcW w:w="722" w:type="dxa"/>
            <w:shd w:val="clear" w:color="auto" w:fill="auto"/>
            <w:vAlign w:val="center"/>
          </w:tcPr>
          <w:p>
            <w:pPr>
              <w:pStyle w:val="19"/>
              <w:numPr>
                <w:ilvl w:val="0"/>
                <w:numId w:val="0"/>
              </w:numPr>
              <w:spacing w:line="360" w:lineRule="auto"/>
              <w:ind w:leftChars="0"/>
              <w:jc w:val="center"/>
              <w:rPr>
                <w:rFonts w:hint="eastAsia" w:eastAsia="宋体" w:asciiTheme="minorEastAsia" w:hAnsiTheme="minorEastAsia"/>
                <w:color w:val="auto"/>
                <w:lang w:val="en-US" w:eastAsia="zh-CN"/>
              </w:rPr>
            </w:pPr>
            <w:r>
              <w:rPr>
                <w:rFonts w:hint="eastAsia" w:asciiTheme="minorEastAsia" w:hAnsiTheme="minorEastAsia"/>
                <w:color w:val="auto"/>
                <w:lang w:val="en-US" w:eastAsia="zh-CN"/>
              </w:rPr>
              <w:t>2</w:t>
            </w:r>
          </w:p>
        </w:tc>
        <w:tc>
          <w:tcPr>
            <w:tcW w:w="1625" w:type="dxa"/>
            <w:shd w:val="clear" w:color="auto" w:fill="auto"/>
            <w:textDirection w:val="lrTb"/>
            <w:vAlign w:val="center"/>
          </w:tcPr>
          <w:p>
            <w:pPr>
              <w:keepNext w:val="0"/>
              <w:keepLines w:val="0"/>
              <w:pageBreakBefore w:val="0"/>
              <w:widowControl w:val="0"/>
              <w:kinsoku/>
              <w:wordWrap/>
              <w:overflowPunct/>
              <w:topLinePunct w:val="0"/>
              <w:autoSpaceDE/>
              <w:autoSpaceDN/>
              <w:bidi w:val="0"/>
              <w:adjustRightInd/>
              <w:snapToGrid/>
              <w:spacing w:before="240" w:line="200" w:lineRule="exact"/>
              <w:ind w:left="315" w:leftChars="0" w:right="0" w:rightChars="0" w:hanging="315" w:hangingChars="150"/>
              <w:jc w:val="center"/>
              <w:textAlignment w:val="auto"/>
              <w:outlineLvl w:val="9"/>
              <w:rPr>
                <w:rFonts w:asciiTheme="minorEastAsia" w:hAnsiTheme="minorEastAsia"/>
                <w:color w:val="auto"/>
                <w:szCs w:val="21"/>
              </w:rPr>
            </w:pPr>
            <w:r>
              <w:rPr>
                <w:rFonts w:hint="eastAsia" w:asciiTheme="minorEastAsia" w:hAnsiTheme="minorEastAsia" w:eastAsiaTheme="minorEastAsia" w:cstheme="minorEastAsia"/>
                <w:color w:val="auto"/>
                <w:sz w:val="21"/>
                <w:szCs w:val="21"/>
                <w:highlight w:val="none"/>
                <w:lang w:val="en-US" w:eastAsia="zh-CN"/>
              </w:rPr>
              <w:t>数据存储设备</w:t>
            </w:r>
          </w:p>
        </w:tc>
        <w:tc>
          <w:tcPr>
            <w:tcW w:w="812" w:type="dxa"/>
            <w:shd w:val="clear" w:color="auto" w:fill="auto"/>
            <w:vAlign w:val="center"/>
          </w:tcPr>
          <w:p>
            <w:pPr>
              <w:spacing w:line="360" w:lineRule="auto"/>
              <w:jc w:val="center"/>
              <w:rPr>
                <w:rFonts w:asciiTheme="minorEastAsia" w:hAnsiTheme="minorEastAsia"/>
                <w:color w:val="auto"/>
                <w:szCs w:val="21"/>
              </w:rPr>
            </w:pPr>
            <w:r>
              <w:rPr>
                <w:rFonts w:hint="eastAsia" w:asciiTheme="minorEastAsia" w:hAnsiTheme="minorEastAsia"/>
                <w:color w:val="auto"/>
                <w:szCs w:val="21"/>
                <w:lang w:val="en-US" w:eastAsia="zh-CN"/>
              </w:rPr>
              <w:t>1</w:t>
            </w:r>
            <w:r>
              <w:rPr>
                <w:rFonts w:hint="eastAsia" w:ascii="宋体" w:hAnsi="宋体"/>
                <w:color w:val="auto"/>
                <w:szCs w:val="21"/>
              </w:rPr>
              <w:t>台</w:t>
            </w:r>
          </w:p>
        </w:tc>
        <w:tc>
          <w:tcPr>
            <w:tcW w:w="1725" w:type="dxa"/>
            <w:vAlign w:val="center"/>
          </w:tcPr>
          <w:p>
            <w:pPr>
              <w:spacing w:line="360" w:lineRule="auto"/>
              <w:jc w:val="center"/>
              <w:rPr>
                <w:rFonts w:asciiTheme="minorEastAsia" w:hAnsiTheme="minorEastAsia"/>
                <w:color w:val="auto"/>
              </w:rPr>
            </w:pPr>
          </w:p>
        </w:tc>
        <w:tc>
          <w:tcPr>
            <w:tcW w:w="875" w:type="dxa"/>
            <w:vAlign w:val="center"/>
          </w:tcPr>
          <w:p>
            <w:pPr>
              <w:spacing w:line="360" w:lineRule="auto"/>
              <w:jc w:val="center"/>
              <w:rPr>
                <w:rFonts w:asciiTheme="minorEastAsia" w:hAnsiTheme="minorEastAsia"/>
                <w:color w:val="auto"/>
              </w:rPr>
            </w:pPr>
          </w:p>
        </w:tc>
        <w:tc>
          <w:tcPr>
            <w:tcW w:w="1625" w:type="dxa"/>
            <w:shd w:val="clear" w:color="auto" w:fill="auto"/>
            <w:vAlign w:val="center"/>
          </w:tcPr>
          <w:p>
            <w:pPr>
              <w:spacing w:line="360" w:lineRule="auto"/>
              <w:jc w:val="center"/>
              <w:rPr>
                <w:rFonts w:asciiTheme="minorEastAsia" w:hAnsiTheme="minorEastAsia"/>
                <w:color w:val="auto"/>
              </w:rPr>
            </w:pPr>
          </w:p>
        </w:tc>
        <w:tc>
          <w:tcPr>
            <w:tcW w:w="1663" w:type="dxa"/>
            <w:vMerge w:val="continue"/>
            <w:shd w:val="clear" w:color="auto" w:fill="auto"/>
            <w:vAlign w:val="center"/>
          </w:tcPr>
          <w:p>
            <w:pPr>
              <w:spacing w:line="360" w:lineRule="auto"/>
              <w:jc w:val="center"/>
              <w:rPr>
                <w:rFonts w:asciiTheme="minorEastAsia" w:hAnsiTheme="minorEastAsia"/>
                <w:color w:val="auto"/>
              </w:rPr>
            </w:pPr>
          </w:p>
        </w:tc>
        <w:tc>
          <w:tcPr>
            <w:tcW w:w="762" w:type="dxa"/>
            <w:vMerge w:val="continue"/>
            <w:shd w:val="clear" w:color="auto" w:fill="auto"/>
            <w:vAlign w:val="center"/>
          </w:tcPr>
          <w:p>
            <w:pPr>
              <w:spacing w:line="360" w:lineRule="auto"/>
              <w:jc w:val="center"/>
              <w:rPr>
                <w:rFonts w:asciiTheme="minorEastAsia" w:hAnsiTheme="minorEastAsia"/>
                <w:color w:val="auto"/>
              </w:rPr>
            </w:pPr>
          </w:p>
        </w:tc>
      </w:tr>
    </w:tbl>
    <w:p>
      <w:pPr>
        <w:spacing w:before="240"/>
        <w:ind w:left="420" w:hanging="315" w:hangingChars="150"/>
        <w:rPr>
          <w:rFonts w:hint="eastAsia" w:asciiTheme="minorEastAsia" w:hAnsiTheme="minorEastAsia" w:eastAsiaTheme="minorEastAsia" w:cstheme="minorEastAsia"/>
          <w:color w:val="auto"/>
          <w:sz w:val="21"/>
          <w:szCs w:val="21"/>
          <w:highlight w:val="none"/>
        </w:rPr>
      </w:pPr>
    </w:p>
    <w:p>
      <w:pPr>
        <w:spacing w:before="240"/>
        <w:ind w:left="420" w:hanging="315" w:hanging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2.我方愿意遵守采购文件的各项规定，供应符合采购文件中所指定的</w:t>
      </w:r>
      <w:r>
        <w:rPr>
          <w:rFonts w:hint="eastAsia" w:asciiTheme="minorEastAsia" w:hAnsiTheme="minorEastAsia" w:eastAsiaTheme="minorEastAsia" w:cstheme="minorEastAsia"/>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，按采购文件的要求提供报价。</w:t>
      </w:r>
    </w:p>
    <w:p>
      <w:pPr>
        <w:ind w:left="420" w:hanging="315" w:hanging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我方同意本响应文件自本项目公告之日起</w:t>
      </w:r>
      <w:r>
        <w:rPr>
          <w:rFonts w:hint="eastAsia" w:asciiTheme="minorEastAsia" w:hAnsiTheme="minorEastAsia" w:eastAsiaTheme="minorEastAsia" w:cstheme="minorEastAsia"/>
          <w:color w:val="auto"/>
          <w:sz w:val="21"/>
          <w:szCs w:val="21"/>
          <w:highlight w:val="none"/>
          <w:u w:val="single"/>
        </w:rPr>
        <w:t>90</w:t>
      </w:r>
      <w:r>
        <w:rPr>
          <w:rFonts w:hint="eastAsia" w:asciiTheme="minorEastAsia" w:hAnsiTheme="minorEastAsia" w:eastAsiaTheme="minorEastAsia" w:cstheme="minorEastAsia"/>
          <w:color w:val="auto"/>
          <w:sz w:val="21"/>
          <w:szCs w:val="21"/>
          <w:highlight w:val="none"/>
        </w:rPr>
        <w:t>天内有效。如果我方的响应被接受，则直至合同生效时止，本响应始终有效。</w:t>
      </w:r>
    </w:p>
    <w:p>
      <w:pPr>
        <w:ind w:left="42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我方已经详细地阅读了全部采购文件及附件，包括澄清及参考文件（如果有的话），我方完全清晰理解采购文件的要求，不存在任何含糊不清和误解之处，同意放弃对这些文件提出异议和质疑的权利。</w:t>
      </w:r>
    </w:p>
    <w:p>
      <w:pPr>
        <w:ind w:left="42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我方完全接受本采购文件中关于响应的规定，并同意放弃对这规定提出异议和质疑的权利。</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我方同意提供采购文件要求的有关响应的其它资料。</w:t>
      </w:r>
    </w:p>
    <w:p>
      <w:pPr>
        <w:ind w:left="42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 我方承诺在本次响应中提供的一切文件，无论是原件或是复印件均为真实和准确的，绝无任何虚假、伪造和夸大的成份。否则，我方愿意承担相应的后果和法律责任。</w:t>
      </w:r>
    </w:p>
    <w:p>
      <w:pPr>
        <w:ind w:left="420" w:hanging="315" w:hanging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我方完全理解，项目采购</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小组并无义务必须接受最低报价的响应或其它任何响应。</w:t>
      </w:r>
    </w:p>
    <w:p>
      <w:pPr>
        <w:spacing w:before="2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所有与本响应有关的函件请按下列联系方式发送:</w:t>
      </w:r>
    </w:p>
    <w:p>
      <w:pPr>
        <w:spacing w:line="60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响应人全称：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bCs/>
          <w:color w:val="auto"/>
          <w:sz w:val="21"/>
          <w:szCs w:val="21"/>
          <w:u w:val="single"/>
        </w:rPr>
        <w:t>（加盖公章）</w:t>
      </w:r>
    </w:p>
    <w:p>
      <w:pPr>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r>
        <w:rPr>
          <w:rFonts w:hint="eastAsia" w:asciiTheme="minorEastAsia" w:hAnsiTheme="minorEastAsia" w:eastAsiaTheme="minorEastAsia" w:cstheme="minorEastAsia"/>
          <w:color w:val="auto"/>
          <w:sz w:val="21"/>
          <w:szCs w:val="21"/>
          <w:u w:val="single"/>
        </w:rPr>
        <w:t xml:space="preserve">                                                </w:t>
      </w:r>
    </w:p>
    <w:p>
      <w:pPr>
        <w:spacing w:line="60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46"/>
          <w:kern w:val="0"/>
          <w:sz w:val="21"/>
          <w:szCs w:val="21"/>
          <w:fitText w:val="1400" w:id="0"/>
        </w:rPr>
        <w:t>邮政编</w:t>
      </w:r>
      <w:r>
        <w:rPr>
          <w:rFonts w:hint="eastAsia" w:asciiTheme="minorEastAsia" w:hAnsiTheme="minorEastAsia" w:eastAsiaTheme="minorEastAsia" w:cstheme="minorEastAsia"/>
          <w:color w:val="auto"/>
          <w:spacing w:val="2"/>
          <w:kern w:val="0"/>
          <w:sz w:val="21"/>
          <w:szCs w:val="21"/>
          <w:fitText w:val="1400" w:id="0"/>
        </w:rPr>
        <w:t>码</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电话：</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传真：</w:t>
      </w:r>
      <w:r>
        <w:rPr>
          <w:rFonts w:hint="eastAsia" w:asciiTheme="minorEastAsia" w:hAnsiTheme="minorEastAsia" w:eastAsiaTheme="minorEastAsia" w:cstheme="minorEastAsia"/>
          <w:color w:val="auto"/>
          <w:sz w:val="21"/>
          <w:szCs w:val="21"/>
          <w:u w:val="single"/>
        </w:rPr>
        <w:t xml:space="preserve">               </w:t>
      </w:r>
    </w:p>
    <w:p>
      <w:pPr>
        <w:spacing w:line="60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电子邮箱：</w:t>
      </w:r>
      <w:r>
        <w:rPr>
          <w:rFonts w:hint="eastAsia" w:asciiTheme="minorEastAsia" w:hAnsiTheme="minorEastAsia" w:eastAsiaTheme="minorEastAsia" w:cstheme="minorEastAsia"/>
          <w:color w:val="auto"/>
          <w:sz w:val="21"/>
          <w:szCs w:val="21"/>
          <w:u w:val="single"/>
        </w:rPr>
        <w:t xml:space="preserve">                                </w:t>
      </w:r>
    </w:p>
    <w:p>
      <w:pPr>
        <w:tabs>
          <w:tab w:val="left" w:pos="3600"/>
        </w:tabs>
        <w:spacing w:line="60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法定代表人或其响应人授权代表(签字)：</w:t>
      </w:r>
    </w:p>
    <w:p>
      <w:pPr>
        <w:wordWrap w:val="0"/>
        <w:spacing w:before="120" w:after="120" w:line="600" w:lineRule="auto"/>
        <w:jc w:val="righ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年    月    日</w:t>
      </w:r>
    </w:p>
    <w:p>
      <w:pPr>
        <w:spacing w:line="360" w:lineRule="auto"/>
        <w:ind w:left="1065" w:hanging="932" w:hangingChars="442"/>
        <w:rPr>
          <w:rFonts w:hint="eastAsia" w:asciiTheme="minorEastAsia" w:hAnsiTheme="minorEastAsia" w:eastAsiaTheme="minorEastAsia" w:cstheme="minorEastAsia"/>
          <w:b/>
          <w:bCs/>
          <w:color w:val="auto"/>
          <w:sz w:val="21"/>
          <w:szCs w:val="21"/>
        </w:rPr>
      </w:pPr>
    </w:p>
    <w:p>
      <w:pPr>
        <w:spacing w:line="360" w:lineRule="auto"/>
        <w:ind w:left="1065" w:hanging="932" w:hangingChars="442"/>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sz w:val="21"/>
          <w:szCs w:val="21"/>
        </w:rPr>
        <w:t>备注：</w:t>
      </w:r>
      <w:r>
        <w:rPr>
          <w:rFonts w:hint="eastAsia" w:asciiTheme="minorEastAsia" w:hAnsiTheme="minorEastAsia" w:eastAsiaTheme="minorEastAsia" w:cstheme="minorEastAsia"/>
          <w:color w:val="auto"/>
          <w:spacing w:val="4"/>
          <w:sz w:val="21"/>
          <w:szCs w:val="21"/>
        </w:rPr>
        <w:t>a.</w:t>
      </w:r>
      <w:r>
        <w:rPr>
          <w:rFonts w:hint="eastAsia" w:asciiTheme="minorEastAsia" w:hAnsiTheme="minorEastAsia" w:eastAsiaTheme="minorEastAsia" w:cstheme="minorEastAsia"/>
          <w:b/>
          <w:color w:val="auto"/>
          <w:spacing w:val="4"/>
          <w:sz w:val="21"/>
          <w:szCs w:val="21"/>
        </w:rPr>
        <w:t xml:space="preserve"> 温馨提示：</w:t>
      </w:r>
      <w:r>
        <w:rPr>
          <w:rFonts w:hint="eastAsia" w:asciiTheme="minorEastAsia" w:hAnsiTheme="minorEastAsia" w:eastAsiaTheme="minorEastAsia" w:cstheme="minorEastAsia"/>
          <w:color w:val="auto"/>
          <w:spacing w:val="4"/>
          <w:sz w:val="21"/>
          <w:szCs w:val="21"/>
        </w:rPr>
        <w:t>中文大写金额用汉字，如壹、贰、叁、肆、伍、陆、柒、捌、玖、拾、佰、仟、万、亿、元、角、分、零、整（正）等。</w:t>
      </w:r>
    </w:p>
    <w:p>
      <w:pPr>
        <w:spacing w:line="360" w:lineRule="auto"/>
        <w:ind w:firstLine="630" w:firstLineChars="3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b. 响应报价的小数点后保留两位有效数。</w:t>
      </w:r>
    </w:p>
    <w:p>
      <w:pPr>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 此表为采购文件的组成部分，须附在正、副本的响应文件中。</w:t>
      </w:r>
    </w:p>
    <w:p>
      <w:pPr>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 此表内响应报价为最终价，除采购文件另有规定外，开标信封或响应文件内不得</w:t>
      </w:r>
    </w:p>
    <w:p>
      <w:pPr>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含有任何对本报价进行价格折扣的说明或资料，否则为无效响应。</w:t>
      </w:r>
    </w:p>
    <w:p>
      <w:pPr>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 本项目不接受有选择性的响应报价。</w:t>
      </w:r>
    </w:p>
    <w:p>
      <w:pPr>
        <w:snapToGrid w:val="0"/>
        <w:spacing w:before="240"/>
        <w:outlineLvl w:val="1"/>
        <w:rPr>
          <w:rFonts w:hint="eastAsia" w:asciiTheme="minorEastAsia" w:hAnsiTheme="minorEastAsia" w:eastAsiaTheme="minorEastAsia" w:cstheme="minorEastAsia"/>
          <w:b/>
          <w:color w:val="auto"/>
          <w:sz w:val="21"/>
          <w:szCs w:val="21"/>
        </w:rPr>
      </w:pPr>
      <w:bookmarkStart w:id="356" w:name="_Toc334797771"/>
      <w:bookmarkStart w:id="357" w:name="_Toc2341915"/>
      <w:bookmarkStart w:id="358" w:name="_Toc2341666"/>
      <w:bookmarkStart w:id="359" w:name="_Toc2341346"/>
      <w:bookmarkStart w:id="360" w:name="_Toc2341753"/>
      <w:bookmarkStart w:id="361" w:name="_Toc533236396"/>
      <w:r>
        <w:rPr>
          <w:rFonts w:hint="eastAsia" w:asciiTheme="minorEastAsia" w:hAnsiTheme="minorEastAsia" w:eastAsiaTheme="minorEastAsia" w:cstheme="minorEastAsia"/>
          <w:b/>
          <w:color w:val="auto"/>
          <w:sz w:val="21"/>
          <w:szCs w:val="21"/>
        </w:rPr>
        <w:br w:type="page"/>
      </w:r>
    </w:p>
    <w:p>
      <w:pPr>
        <w:snapToGrid w:val="0"/>
        <w:spacing w:before="240"/>
        <w:outlineLvl w:val="1"/>
        <w:rPr>
          <w:rFonts w:hint="eastAsia" w:asciiTheme="minorEastAsia" w:hAnsiTheme="minorEastAsia" w:eastAsiaTheme="minorEastAsia" w:cstheme="minorEastAsia"/>
          <w:b w:val="0"/>
          <w:bCs/>
          <w:color w:val="auto"/>
          <w:sz w:val="24"/>
          <w:szCs w:val="24"/>
        </w:rPr>
      </w:pPr>
      <w:bookmarkStart w:id="362" w:name="_Toc30749"/>
      <w:bookmarkStart w:id="363" w:name="_Toc32347"/>
      <w:bookmarkStart w:id="364" w:name="_Toc432_WPSOffice_Level1"/>
      <w:bookmarkStart w:id="365" w:name="_Toc10904"/>
      <w:bookmarkStart w:id="366" w:name="_Toc31176"/>
      <w:r>
        <w:rPr>
          <w:rFonts w:hint="eastAsia" w:asciiTheme="minorEastAsia" w:hAnsiTheme="minorEastAsia" w:eastAsiaTheme="minorEastAsia" w:cstheme="minorEastAsia"/>
          <w:b w:val="0"/>
          <w:bCs/>
          <w:color w:val="auto"/>
          <w:sz w:val="24"/>
          <w:szCs w:val="24"/>
        </w:rPr>
        <w:t>格式2</w:t>
      </w:r>
      <w:bookmarkEnd w:id="356"/>
      <w:r>
        <w:rPr>
          <w:rFonts w:hint="eastAsia" w:asciiTheme="minorEastAsia" w:hAnsiTheme="minorEastAsia" w:eastAsiaTheme="minorEastAsia" w:cstheme="minorEastAsia"/>
          <w:b w:val="0"/>
          <w:bCs/>
          <w:color w:val="auto"/>
          <w:sz w:val="24"/>
          <w:szCs w:val="24"/>
        </w:rPr>
        <w:t>：法定代表人证明及授权书</w:t>
      </w:r>
      <w:bookmarkEnd w:id="357"/>
      <w:bookmarkEnd w:id="358"/>
      <w:bookmarkEnd w:id="359"/>
      <w:bookmarkEnd w:id="360"/>
      <w:bookmarkEnd w:id="362"/>
      <w:bookmarkEnd w:id="363"/>
      <w:bookmarkEnd w:id="364"/>
      <w:bookmarkEnd w:id="365"/>
      <w:bookmarkEnd w:id="366"/>
    </w:p>
    <w:p>
      <w:pPr>
        <w:snapToGrid w:val="0"/>
        <w:spacing w:before="240"/>
        <w:outlineLvl w:val="1"/>
        <w:rPr>
          <w:rFonts w:hint="eastAsia" w:asciiTheme="minorEastAsia" w:hAnsiTheme="minorEastAsia" w:eastAsiaTheme="minorEastAsia" w:cstheme="minorEastAsia"/>
          <w:b w:val="0"/>
          <w:bCs/>
          <w:color w:val="auto"/>
          <w:sz w:val="2"/>
          <w:szCs w:val="2"/>
        </w:rPr>
      </w:pPr>
    </w:p>
    <w:p>
      <w:pPr>
        <w:spacing w:after="240"/>
        <w:jc w:val="center"/>
        <w:rPr>
          <w:rFonts w:hint="eastAsia" w:ascii="黑体" w:hAnsi="黑体" w:eastAsia="黑体" w:cs="黑体"/>
          <w:color w:val="auto"/>
          <w:sz w:val="32"/>
          <w:szCs w:val="32"/>
        </w:rPr>
      </w:pPr>
      <w:r>
        <w:rPr>
          <w:rFonts w:hint="eastAsia" w:ascii="黑体" w:hAnsi="黑体" w:eastAsia="黑体" w:cs="黑体"/>
          <w:color w:val="auto"/>
          <w:sz w:val="32"/>
          <w:szCs w:val="32"/>
        </w:rPr>
        <w:t xml:space="preserve"> 法定代表人证明及授权书</w:t>
      </w:r>
      <w:bookmarkEnd w:id="361"/>
    </w:p>
    <w:p>
      <w:pP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 xml:space="preserve">致: </w:t>
      </w:r>
      <w:r>
        <w:rPr>
          <w:rFonts w:hint="eastAsia" w:asciiTheme="minorEastAsia" w:hAnsiTheme="minorEastAsia" w:eastAsiaTheme="minorEastAsia" w:cstheme="minorEastAsia"/>
          <w:b/>
          <w:color w:val="auto"/>
          <w:sz w:val="21"/>
          <w:szCs w:val="21"/>
        </w:rPr>
        <w:t>广州检验检测认证集团有限公司</w:t>
      </w:r>
    </w:p>
    <w:p>
      <w:pPr>
        <w:pStyle w:val="7"/>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本授权证明：</w:t>
      </w:r>
      <w:r>
        <w:rPr>
          <w:rFonts w:hint="eastAsia" w:asciiTheme="minorEastAsia" w:hAnsiTheme="minorEastAsia" w:eastAsiaTheme="minorEastAsia" w:cstheme="minorEastAsia"/>
          <w:i/>
          <w:color w:val="auto"/>
          <w:sz w:val="21"/>
          <w:szCs w:val="21"/>
          <w:u w:val="single"/>
        </w:rPr>
        <w:t>（法定代表人姓名）</w:t>
      </w:r>
      <w:r>
        <w:rPr>
          <w:rFonts w:hint="eastAsia" w:asciiTheme="minorEastAsia" w:hAnsiTheme="minorEastAsia" w:eastAsiaTheme="minorEastAsia" w:cstheme="minorEastAsia"/>
          <w:color w:val="auto"/>
          <w:sz w:val="21"/>
          <w:szCs w:val="21"/>
        </w:rPr>
        <w:t>是注册于</w:t>
      </w:r>
      <w:r>
        <w:rPr>
          <w:rFonts w:hint="eastAsia" w:asciiTheme="minorEastAsia" w:hAnsiTheme="minorEastAsia" w:eastAsiaTheme="minorEastAsia" w:cstheme="minorEastAsia"/>
          <w:i/>
          <w:color w:val="auto"/>
          <w:sz w:val="21"/>
          <w:szCs w:val="21"/>
          <w:u w:val="single"/>
        </w:rPr>
        <w:t>（省、市、县）</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i/>
          <w:color w:val="auto"/>
          <w:sz w:val="21"/>
          <w:szCs w:val="21"/>
          <w:u w:val="single"/>
        </w:rPr>
        <w:t>（响应人名称）</w:t>
      </w:r>
      <w:r>
        <w:rPr>
          <w:rFonts w:hint="eastAsia" w:asciiTheme="minorEastAsia" w:hAnsiTheme="minorEastAsia" w:eastAsiaTheme="minorEastAsia" w:cstheme="minorEastAsia"/>
          <w:color w:val="auto"/>
          <w:sz w:val="21"/>
          <w:szCs w:val="21"/>
        </w:rPr>
        <w:t>的法定代表人，现任</w:t>
      </w:r>
      <w:r>
        <w:rPr>
          <w:rFonts w:hint="eastAsia" w:asciiTheme="minorEastAsia" w:hAnsiTheme="minorEastAsia" w:eastAsiaTheme="minorEastAsia" w:cstheme="minorEastAsia"/>
          <w:i/>
          <w:color w:val="auto"/>
          <w:sz w:val="21"/>
          <w:szCs w:val="21"/>
          <w:u w:val="single"/>
        </w:rPr>
        <w:t>（法定代表人职务）</w:t>
      </w:r>
      <w:r>
        <w:rPr>
          <w:rFonts w:hint="eastAsia" w:asciiTheme="minorEastAsia" w:hAnsiTheme="minorEastAsia" w:eastAsiaTheme="minorEastAsia" w:cstheme="minorEastAsia"/>
          <w:color w:val="auto"/>
          <w:sz w:val="21"/>
          <w:szCs w:val="21"/>
        </w:rPr>
        <w:t>。在此授权</w:t>
      </w:r>
      <w:r>
        <w:rPr>
          <w:rFonts w:hint="eastAsia" w:asciiTheme="minorEastAsia" w:hAnsiTheme="minorEastAsia" w:eastAsiaTheme="minorEastAsia" w:cstheme="minorEastAsia"/>
          <w:i/>
          <w:color w:val="auto"/>
          <w:sz w:val="21"/>
          <w:szCs w:val="21"/>
          <w:u w:val="single"/>
        </w:rPr>
        <w:t>（被授权人姓名、职务）</w:t>
      </w:r>
      <w:r>
        <w:rPr>
          <w:rFonts w:hint="eastAsia" w:asciiTheme="minorEastAsia" w:hAnsiTheme="minorEastAsia" w:eastAsiaTheme="minorEastAsia" w:cstheme="minorEastAsia"/>
          <w:color w:val="auto"/>
          <w:sz w:val="21"/>
          <w:szCs w:val="21"/>
        </w:rPr>
        <w:t>作为我公司的全权代理人，在</w:t>
      </w:r>
      <w:r>
        <w:rPr>
          <w:rFonts w:hint="eastAsia" w:asciiTheme="minorEastAsia" w:hAnsiTheme="minorEastAsia" w:eastAsiaTheme="minorEastAsia" w:cstheme="minorEastAsia"/>
          <w:i/>
          <w:color w:val="auto"/>
          <w:sz w:val="21"/>
          <w:szCs w:val="21"/>
          <w:u w:val="single"/>
        </w:rPr>
        <w:t>（项目名称）</w:t>
      </w:r>
      <w:r>
        <w:rPr>
          <w:rFonts w:hint="eastAsia" w:asciiTheme="minorEastAsia" w:hAnsiTheme="minorEastAsia" w:eastAsiaTheme="minorEastAsia" w:cstheme="minorEastAsia"/>
          <w:color w:val="auto"/>
          <w:sz w:val="21"/>
          <w:szCs w:val="21"/>
        </w:rPr>
        <w:t>的响应（项目编号为：</w:t>
      </w:r>
      <w:r>
        <w:rPr>
          <w:rFonts w:hint="eastAsia" w:asciiTheme="minorEastAsia" w:hAnsiTheme="minorEastAsia" w:eastAsiaTheme="minorEastAsia" w:cstheme="minorEastAsia"/>
          <w:i/>
          <w:color w:val="auto"/>
          <w:sz w:val="21"/>
          <w:szCs w:val="21"/>
          <w:u w:val="single"/>
        </w:rPr>
        <w:t xml:space="preserve"> 穗广科竞〔2019〕4号）</w:t>
      </w:r>
      <w:r>
        <w:rPr>
          <w:rFonts w:hint="eastAsia" w:asciiTheme="minorEastAsia" w:hAnsiTheme="minorEastAsia" w:eastAsiaTheme="minorEastAsia" w:cstheme="minorEastAsia"/>
          <w:color w:val="auto"/>
          <w:sz w:val="21"/>
          <w:szCs w:val="21"/>
        </w:rPr>
        <w:t>及其合同执行过程中，以我公司的名义处理一切与之有关的事务。</w:t>
      </w:r>
    </w:p>
    <w:p>
      <w:pPr>
        <w:spacing w:line="30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本授权书于</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日签字生效，特此声明。</w:t>
      </w:r>
    </w:p>
    <w:p>
      <w:pPr>
        <w:pStyle w:val="7"/>
        <w:spacing w:line="30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51072" behindDoc="0" locked="0" layoutInCell="1" allowOverlap="1">
                <wp:simplePos x="0" y="0"/>
                <wp:positionH relativeFrom="column">
                  <wp:posOffset>3180715</wp:posOffset>
                </wp:positionH>
                <wp:positionV relativeFrom="paragraph">
                  <wp:posOffset>40640</wp:posOffset>
                </wp:positionV>
                <wp:extent cx="3095625" cy="1943735"/>
                <wp:effectExtent l="9525" t="9525" r="19050" b="27940"/>
                <wp:wrapNone/>
                <wp:docPr id="5"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chemeClr val="bg1">
                              <a:lumMod val="50000"/>
                            </a:schemeClr>
                          </a:solidFill>
                          <a:prstDash val="solid"/>
                          <a:headEnd type="none" w="med" len="med"/>
                          <a:tailEnd type="none" w="med" len="med"/>
                        </a:ln>
                      </wps:spPr>
                      <wps:bodyPr anchor="ctr" upright="1"/>
                    </wps:wsp>
                  </a:graphicData>
                </a:graphic>
              </wp:anchor>
            </w:drawing>
          </mc:Choice>
          <mc:Fallback>
            <w:pict>
              <v:roundrect id="圆角矩形 4" o:spid="_x0000_s1026" o:spt="2" style="position:absolute;left:0pt;margin-left:250.45pt;margin-top:3.2pt;height:153.05pt;width:243.75pt;z-index:251651072;v-text-anchor:middle;mso-width-relative:page;mso-height-relative:page;" filled="f" stroked="t" coordsize="21600,21600" arcsize="0.0249074074074074" o:gfxdata="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2IaYrVAAAACQEAAA8A&#10;AAAAAAAAAQAgAAAAIgAAAGRycy9kb3ducmV2LnhtbFBLAQIUABQAAAAIAIdO4kAsmfUcGgIAAAoE&#10;AAAOAAAAAAAAAAEAIAAAACQBAABkcnMvZTJvRG9jLnhtbFBLBQYAAAAABgAGAFkBAACwBQAAAAA=&#10;">
                <v:fill on="f" focussize="0,0"/>
                <v:stroke weight="1.5pt" color="#7F7F7F [1612]" linestyle="thickThin" joinstyle="round"/>
                <v:imagedata o:title=""/>
                <o:lock v:ext="edit" aspectratio="f"/>
              </v:roundrect>
            </w:pict>
          </mc:Fallback>
        </mc:AlternateContent>
      </w: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48000" behindDoc="0" locked="0" layoutInCell="1" allowOverlap="1">
                <wp:simplePos x="0" y="0"/>
                <wp:positionH relativeFrom="column">
                  <wp:posOffset>8890</wp:posOffset>
                </wp:positionH>
                <wp:positionV relativeFrom="paragraph">
                  <wp:posOffset>40640</wp:posOffset>
                </wp:positionV>
                <wp:extent cx="3095625" cy="1943735"/>
                <wp:effectExtent l="9525" t="9525" r="19050" b="27940"/>
                <wp:wrapNone/>
                <wp:docPr id="1"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chemeClr val="bg1">
                              <a:lumMod val="50000"/>
                            </a:schemeClr>
                          </a:solidFill>
                          <a:prstDash val="solid"/>
                          <a:headEnd type="none" w="med" len="med"/>
                          <a:tailEnd type="none" w="med" len="med"/>
                        </a:ln>
                      </wps:spPr>
                      <wps:bodyPr anchor="ctr" upright="1"/>
                    </wps:wsp>
                  </a:graphicData>
                </a:graphic>
              </wp:anchor>
            </w:drawing>
          </mc:Choice>
          <mc:Fallback>
            <w:pict>
              <v:roundrect id="圆角矩形 3" o:spid="_x0000_s1026" o:spt="2" style="position:absolute;left:0pt;margin-left:0.7pt;margin-top:3.2pt;height:153.05pt;width:243.75pt;z-index:251648000;v-text-anchor:middle;mso-width-relative:page;mso-height-relative:page;" filled="f" stroked="t" coordsize="21600,21600" arcsize="0.0249074074074074" o:gfxdata="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1/V2fSAAAABwEAAA8AAAAA&#10;AAAAAQAgAAAAIgAAAGRycy9kb3ducmV2LnhtbFBLAQIUABQAAAAIAIdO4kBgEp/CGgIAAAoEAAAO&#10;AAAAAAAAAAEAIAAAACEBAABkcnMvZTJvRG9jLnhtbFBLBQYAAAAABgAGAFkBAACtBQAAAAA=&#10;">
                <v:fill on="f" focussize="0,0"/>
                <v:stroke weight="1.5pt" color="#7F7F7F [1612]" linestyle="thickThin" joinstyle="round"/>
                <v:imagedata o:title=""/>
                <o:lock v:ext="edit" aspectratio="f"/>
              </v:roundrect>
            </w:pict>
          </mc:Fallback>
        </mc:AlternateContent>
      </w:r>
    </w:p>
    <w:p>
      <w:pPr>
        <w:pStyle w:val="7"/>
        <w:spacing w:line="30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3218815</wp:posOffset>
                </wp:positionH>
                <wp:positionV relativeFrom="paragraph">
                  <wp:posOffset>63500</wp:posOffset>
                </wp:positionV>
                <wp:extent cx="3028950" cy="892810"/>
                <wp:effectExtent l="0" t="0" r="0" b="254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5pt;height:70.3pt;width:238.5pt;z-index:251663360;mso-width-relative:page;mso-height-relative:margin;mso-height-percent:200;" fillcolor="#FFFFFF" filled="t" stroked="f" coordsize="21600,21600" o:gfxdata="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e2ST1QAA&#10;AAoBAAAPAAAAAAAAAAEAIAAAACIAAABkcnMvZG93bnJldi54bWxQSwECFAAUAAAACACHTuJAjreh&#10;biECAAATBAAADgAAAAAAAAABACAAAAAkAQAAZHJzL2Uyb0RvYy54bWxQSwUGAAAAAAYABgBZAQAA&#10;tw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v:textbox>
              </v:shape>
            </w:pict>
          </mc:Fallback>
        </mc:AlternateContent>
      </w: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5pt;height:70.3pt;width:238.5pt;z-index:251660288;mso-width-relative:page;mso-height-relative:margin;mso-height-percent:200;" fillcolor="#FFFFFF" filled="t" stroked="f" coordsize="21600,21600" o:gfxdata="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o78NZ&#10;1QAAAAgBAAAPAAAAAAAAAAEAIAAAACIAAABkcnMvZG93bnJldi54bWxQSwECFAAUAAAACACHTuJA&#10;osUM6iQCAAAUBAAADgAAAAAAAAABACAAAAAkAQAAZHJzL2Uyb0RvYy54bWxQSwUGAAAAAAYABgBZ&#10;AQAAug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v:textbox>
              </v:shape>
            </w:pict>
          </mc:Fallback>
        </mc:AlternateContent>
      </w:r>
    </w:p>
    <w:p>
      <w:pPr>
        <w:pStyle w:val="7"/>
        <w:spacing w:line="300" w:lineRule="auto"/>
        <w:jc w:val="center"/>
        <w:rPr>
          <w:rFonts w:hint="eastAsia" w:asciiTheme="minorEastAsia" w:hAnsiTheme="minorEastAsia" w:eastAsiaTheme="minorEastAsia" w:cstheme="minorEastAsia"/>
          <w:color w:val="auto"/>
          <w:sz w:val="21"/>
          <w:szCs w:val="21"/>
        </w:rPr>
      </w:pPr>
    </w:p>
    <w:p>
      <w:pPr>
        <w:pStyle w:val="7"/>
        <w:spacing w:line="300" w:lineRule="auto"/>
        <w:jc w:val="center"/>
        <w:rPr>
          <w:rFonts w:hint="eastAsia" w:asciiTheme="minorEastAsia" w:hAnsiTheme="minorEastAsia" w:eastAsiaTheme="minorEastAsia" w:cstheme="minorEastAsia"/>
          <w:color w:val="auto"/>
          <w:sz w:val="21"/>
          <w:szCs w:val="21"/>
        </w:rPr>
      </w:pPr>
    </w:p>
    <w:p>
      <w:pPr>
        <w:spacing w:line="300" w:lineRule="auto"/>
        <w:ind w:firstLine="420" w:firstLineChars="200"/>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before="240" w:after="240" w:line="240" w:lineRule="auto"/>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before="240" w:after="240" w:line="240" w:lineRule="auto"/>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before="240" w:after="240" w:line="24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法定代表人（签字）：                                   年     月    日</w:t>
      </w:r>
    </w:p>
    <w:p>
      <w:pPr>
        <w:spacing w:before="240" w:after="240" w:line="3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69504" behindDoc="0" locked="0" layoutInCell="1" allowOverlap="1">
                <wp:simplePos x="0" y="0"/>
                <wp:positionH relativeFrom="column">
                  <wp:posOffset>3218815</wp:posOffset>
                </wp:positionH>
                <wp:positionV relativeFrom="paragraph">
                  <wp:posOffset>530225</wp:posOffset>
                </wp:positionV>
                <wp:extent cx="3028950" cy="892810"/>
                <wp:effectExtent l="0" t="0" r="0" b="254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41.75pt;height:70.3pt;width:238.5pt;z-index:251669504;mso-width-relative:page;mso-height-relative:margin;mso-height-percent:200;" fillcolor="#FFFFFF" filled="t" stroked="f" coordsize="21600,21600" o:gfxdata="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Qt&#10;MTPZAAAACgEAAA8AAAAAAAAAAQAgAAAAIgAAAGRycy9kb3ducmV2LnhtbFBLAQIUABQAAAAIAIdO&#10;4kAwD8vXIgIAABMEAAAOAAAAAAAAAAEAIAAAACgBAABkcnMvZTJvRG9jLnhtbFBLBQYAAAAABgAG&#10;AFkBAAC8BQ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v:textbox>
              </v:shape>
            </w:pict>
          </mc:Fallback>
        </mc:AlternateContent>
      </w: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530225</wp:posOffset>
                </wp:positionV>
                <wp:extent cx="3028950" cy="892810"/>
                <wp:effectExtent l="0" t="0" r="0" b="254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41.75pt;height:70.3pt;width:238.5pt;z-index:251666432;mso-width-relative:page;mso-height-relative:margin;mso-height-percent:200;" fillcolor="#FFFFFF" filled="t" stroked="f" coordsize="21600,21600" o:gfxdata="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HuZb5&#10;1wAAAAgBAAAPAAAAAAAAAAEAIAAAACIAAABkcnMvZG93bnJldi54bWxQSwECFAAUAAAACACHTuJA&#10;hIEd7CICAAATBAAADgAAAAAAAAABACAAAAAmAQAAZHJzL2Uyb0RvYy54bWxQSwUGAAAAAAYABgBZ&#10;AQAAug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v:textbox>
              </v:shape>
            </w:pict>
          </mc:Fallback>
        </mc:AlternateContent>
      </w: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57216" behindDoc="0" locked="0" layoutInCell="1" allowOverlap="1">
                <wp:simplePos x="0" y="0"/>
                <wp:positionH relativeFrom="column">
                  <wp:posOffset>3180715</wp:posOffset>
                </wp:positionH>
                <wp:positionV relativeFrom="paragraph">
                  <wp:posOffset>3175</wp:posOffset>
                </wp:positionV>
                <wp:extent cx="3095625" cy="1943735"/>
                <wp:effectExtent l="9525" t="9525" r="19050" b="27940"/>
                <wp:wrapNone/>
                <wp:docPr id="2"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chemeClr val="bg1">
                              <a:lumMod val="50000"/>
                            </a:schemeClr>
                          </a:solidFill>
                          <a:prstDash val="solid"/>
                          <a:headEnd type="none" w="med" len="med"/>
                          <a:tailEnd type="none" w="med" len="med"/>
                        </a:ln>
                      </wps:spPr>
                      <wps:bodyPr anchor="ctr" upright="1"/>
                    </wps:wsp>
                  </a:graphicData>
                </a:graphic>
              </wp:anchor>
            </w:drawing>
          </mc:Choice>
          <mc:Fallback>
            <w:pict>
              <v:roundrect id="圆角矩形 6" o:spid="_x0000_s1026" o:spt="2" style="position:absolute;left:0pt;margin-left:250.45pt;margin-top:0.25pt;height:153.05pt;width:243.75pt;z-index:251657216;v-text-anchor:middle;mso-width-relative:page;mso-height-relative:page;" filled="f" stroked="t" coordsize="21600,21600" arcsize="0.0249074074074074" o:gfxdata="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srh9bUAAAACAEAAA8A&#10;AAAAAAAAAQAgAAAAIgAAAGRycy9kb3ducmV2LnhtbFBLAQIUABQAAAAIAIdO4kCedRqbGwIAAAoE&#10;AAAOAAAAAAAAAAEAIAAAACMBAABkcnMvZTJvRG9jLnhtbFBLBQYAAAAABgAGAFkBAACwBQAAAAA=&#10;">
                <v:fill on="f" focussize="0,0"/>
                <v:stroke weight="1.5pt" color="#7F7F7F [1612]" linestyle="thickThin" joinstyle="round"/>
                <v:imagedata o:title=""/>
                <o:lock v:ext="edit" aspectratio="f"/>
              </v:roundrect>
            </w:pict>
          </mc:Fallback>
        </mc:AlternateContent>
      </w:r>
      <w:r>
        <w:rPr>
          <w:rFonts w:hint="eastAsia" w:asciiTheme="minorEastAsia" w:hAnsiTheme="minorEastAsia" w:eastAsiaTheme="minorEastAsia" w:cstheme="minorEastAsia"/>
          <w:color w:val="auto"/>
          <w:sz w:val="21"/>
          <w:szCs w:val="21"/>
        </w:rPr>
        <mc:AlternateContent>
          <mc:Choice Requires="wps">
            <w:drawing>
              <wp:anchor distT="0" distB="0" distL="114300" distR="114300" simplePos="0" relativeHeight="251654144" behindDoc="0" locked="0" layoutInCell="1" allowOverlap="1">
                <wp:simplePos x="0" y="0"/>
                <wp:positionH relativeFrom="column">
                  <wp:posOffset>8890</wp:posOffset>
                </wp:positionH>
                <wp:positionV relativeFrom="paragraph">
                  <wp:posOffset>3175</wp:posOffset>
                </wp:positionV>
                <wp:extent cx="3095625" cy="1951355"/>
                <wp:effectExtent l="9525" t="9525" r="19050" b="20320"/>
                <wp:wrapNone/>
                <wp:docPr id="8" name="圆角矩形 5"/>
                <wp:cNvGraphicFramePr/>
                <a:graphic xmlns:a="http://schemas.openxmlformats.org/drawingml/2006/main">
                  <a:graphicData uri="http://schemas.microsoft.com/office/word/2010/wordprocessingShape">
                    <wps:wsp>
                      <wps:cNvSpPr/>
                      <wps:spPr>
                        <a:xfrm>
                          <a:off x="0" y="0"/>
                          <a:ext cx="3095625" cy="1951355"/>
                        </a:xfrm>
                        <a:prstGeom prst="roundRect">
                          <a:avLst>
                            <a:gd name="adj" fmla="val 2491"/>
                          </a:avLst>
                        </a:prstGeom>
                        <a:noFill/>
                        <a:ln w="19050" cap="flat" cmpd="thickThin">
                          <a:solidFill>
                            <a:schemeClr val="bg1">
                              <a:lumMod val="50000"/>
                            </a:schemeClr>
                          </a:solidFill>
                          <a:prstDash val="solid"/>
                          <a:headEnd type="none" w="med" len="med"/>
                          <a:tailEnd type="none" w="med" len="med"/>
                        </a:ln>
                      </wps:spPr>
                      <wps:bodyPr anchor="ctr" upright="1"/>
                    </wps:wsp>
                  </a:graphicData>
                </a:graphic>
              </wp:anchor>
            </w:drawing>
          </mc:Choice>
          <mc:Fallback>
            <w:pict>
              <v:roundrect id="圆角矩形 5" o:spid="_x0000_s1026" o:spt="2" style="position:absolute;left:0pt;margin-left:0.7pt;margin-top:0.25pt;height:153.65pt;width:243.75pt;z-index:251654144;v-text-anchor:middle;mso-width-relative:page;mso-height-relative:page;" filled="f" stroked="t" coordsize="21600,21600" arcsize="0.0249074074074074" o:gfxdata="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AfbnR0QAAAAYBAAAPAAAAAAAA&#10;AAEAIAAAACIAAABkcnMvZG93bnJldi54bWxQSwECFAAUAAAACACHTuJAoXWGjhkCAAAKBAAADgAA&#10;AAAAAAABACAAAAAgAQAAZHJzL2Uyb0RvYy54bWxQSwUGAAAAAAYABgBZAQAAqwUAAAAA&#10;">
                <v:fill on="f" focussize="0,0"/>
                <v:stroke weight="1.5pt" color="#7F7F7F [1612]" linestyle="thickThin" joinstyle="round"/>
                <v:imagedata o:title=""/>
                <o:lock v:ext="edit" aspectratio="f"/>
              </v:roundrect>
            </w:pict>
          </mc:Fallback>
        </mc:AlternateContent>
      </w:r>
    </w:p>
    <w:p>
      <w:pPr>
        <w:pStyle w:val="7"/>
        <w:spacing w:line="300" w:lineRule="auto"/>
        <w:jc w:val="center"/>
        <w:rPr>
          <w:rFonts w:hint="eastAsia" w:asciiTheme="minorEastAsia" w:hAnsiTheme="minorEastAsia" w:eastAsiaTheme="minorEastAsia" w:cstheme="minorEastAsia"/>
          <w:color w:val="auto"/>
          <w:sz w:val="21"/>
          <w:szCs w:val="21"/>
        </w:rPr>
      </w:pPr>
    </w:p>
    <w:p>
      <w:pPr>
        <w:pStyle w:val="7"/>
        <w:spacing w:line="300" w:lineRule="auto"/>
        <w:ind w:firstLine="0"/>
        <w:rPr>
          <w:rFonts w:hint="eastAsia" w:asciiTheme="minorEastAsia" w:hAnsiTheme="minorEastAsia" w:eastAsiaTheme="minorEastAsia" w:cstheme="minorEastAsia"/>
          <w:color w:val="auto"/>
          <w:sz w:val="21"/>
          <w:szCs w:val="21"/>
        </w:rPr>
      </w:pPr>
    </w:p>
    <w:p>
      <w:pPr>
        <w:pStyle w:val="7"/>
        <w:spacing w:line="300" w:lineRule="auto"/>
        <w:jc w:val="center"/>
        <w:rPr>
          <w:rFonts w:hint="eastAsia" w:asciiTheme="minorEastAsia" w:hAnsiTheme="minorEastAsia" w:eastAsiaTheme="minorEastAsia" w:cstheme="minorEastAsia"/>
          <w:color w:val="auto"/>
          <w:sz w:val="21"/>
          <w:szCs w:val="21"/>
        </w:rPr>
      </w:pPr>
    </w:p>
    <w:p>
      <w:pPr>
        <w:pStyle w:val="7"/>
        <w:spacing w:line="300" w:lineRule="auto"/>
        <w:ind w:firstLine="0"/>
        <w:rPr>
          <w:rFonts w:hint="eastAsia" w:asciiTheme="minorEastAsia" w:hAnsiTheme="minorEastAsia" w:eastAsiaTheme="minorEastAsia" w:cstheme="minorEastAsia"/>
          <w:color w:val="auto"/>
          <w:sz w:val="21"/>
          <w:szCs w:val="21"/>
        </w:rPr>
      </w:pPr>
    </w:p>
    <w:p>
      <w:pPr>
        <w:pStyle w:val="7"/>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Theme="minorEastAsia" w:hAnsiTheme="minorEastAsia" w:eastAsiaTheme="minorEastAsia" w:cstheme="minorEastAsia"/>
          <w:color w:val="auto"/>
          <w:sz w:val="21"/>
          <w:szCs w:val="21"/>
        </w:rPr>
      </w:pPr>
    </w:p>
    <w:p>
      <w:pPr>
        <w:pStyle w:val="7"/>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Theme="minorEastAsia" w:hAnsiTheme="minorEastAsia" w:eastAsiaTheme="minorEastAsia" w:cstheme="minorEastAsia"/>
          <w:color w:val="auto"/>
          <w:sz w:val="21"/>
          <w:szCs w:val="21"/>
        </w:rPr>
      </w:pPr>
    </w:p>
    <w:p>
      <w:pPr>
        <w:pStyle w:val="7"/>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Theme="minorEastAsia" w:hAnsiTheme="minorEastAsia" w:eastAsiaTheme="minorEastAsia" w:cstheme="minorEastAsia"/>
          <w:color w:val="auto"/>
          <w:sz w:val="21"/>
          <w:szCs w:val="21"/>
        </w:rPr>
      </w:pPr>
    </w:p>
    <w:p>
      <w:pPr>
        <w:pStyle w:val="7"/>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被授权人(响应人授权代表)（签字）：                      年     月    日</w:t>
      </w:r>
    </w:p>
    <w:p>
      <w:pPr>
        <w:keepNext w:val="0"/>
        <w:keepLines w:val="0"/>
        <w:pageBreakBefore w:val="0"/>
        <w:widowControl w:val="0"/>
        <w:kinsoku/>
        <w:wordWrap/>
        <w:overflowPunct/>
        <w:topLinePunct w:val="0"/>
        <w:autoSpaceDE/>
        <w:autoSpaceDN/>
        <w:bidi w:val="0"/>
        <w:adjustRightInd/>
        <w:snapToGrid/>
        <w:spacing w:before="240" w:line="34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（加盖公章）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r>
        <w:rPr>
          <w:rFonts w:hint="eastAsia" w:asciiTheme="minorEastAsia" w:hAnsiTheme="minorEastAsia" w:eastAsiaTheme="minorEastAsia" w:cstheme="minorEastAsia"/>
          <w:color w:val="auto"/>
          <w:sz w:val="21"/>
          <w:szCs w:val="21"/>
          <w:u w:val="single"/>
        </w:rPr>
        <w:t xml:space="preserve">                                                         </w:t>
      </w:r>
    </w:p>
    <w:p>
      <w:pPr>
        <w:snapToGrid w:val="0"/>
        <w:spacing w:before="240" w:line="360" w:lineRule="auto"/>
        <w:outlineLvl w:val="1"/>
        <w:rPr>
          <w:rFonts w:hint="eastAsia" w:asciiTheme="minorEastAsia" w:hAnsiTheme="minorEastAsia" w:eastAsiaTheme="minorEastAsia" w:cstheme="minorEastAsia"/>
          <w:b/>
          <w:color w:val="auto"/>
          <w:sz w:val="21"/>
          <w:szCs w:val="21"/>
        </w:rPr>
      </w:pPr>
      <w:bookmarkStart w:id="367" w:name="_Toc245819135"/>
      <w:bookmarkStart w:id="368" w:name="_Toc2341347"/>
      <w:bookmarkStart w:id="369" w:name="_Toc2341667"/>
      <w:bookmarkStart w:id="370" w:name="_Toc2341916"/>
      <w:bookmarkStart w:id="371" w:name="_Toc2341754"/>
      <w:bookmarkStart w:id="372" w:name="_Toc334797772"/>
      <w:bookmarkStart w:id="373" w:name="_Toc533236397"/>
      <w:r>
        <w:rPr>
          <w:rFonts w:hint="eastAsia" w:asciiTheme="minorEastAsia" w:hAnsiTheme="minorEastAsia" w:eastAsiaTheme="minorEastAsia" w:cstheme="minorEastAsia"/>
          <w:b/>
          <w:color w:val="auto"/>
          <w:sz w:val="21"/>
          <w:szCs w:val="21"/>
        </w:rPr>
        <w:br w:type="page"/>
      </w:r>
    </w:p>
    <w:p>
      <w:pPr>
        <w:snapToGrid w:val="0"/>
        <w:spacing w:before="240"/>
        <w:outlineLvl w:val="1"/>
        <w:rPr>
          <w:rFonts w:hint="eastAsia" w:asciiTheme="minorEastAsia" w:hAnsiTheme="minorEastAsia" w:eastAsiaTheme="minorEastAsia" w:cstheme="minorEastAsia"/>
          <w:b w:val="0"/>
          <w:bCs/>
          <w:color w:val="auto"/>
          <w:sz w:val="24"/>
          <w:szCs w:val="24"/>
        </w:rPr>
      </w:pPr>
      <w:bookmarkStart w:id="374" w:name="_Toc20865"/>
      <w:bookmarkStart w:id="375" w:name="_Toc31784"/>
      <w:bookmarkStart w:id="376" w:name="_Toc2212_WPSOffice_Level1"/>
      <w:bookmarkStart w:id="377" w:name="_Toc29319"/>
      <w:bookmarkStart w:id="378" w:name="_Toc4478"/>
      <w:r>
        <w:rPr>
          <w:rFonts w:hint="eastAsia" w:asciiTheme="minorEastAsia" w:hAnsiTheme="minorEastAsia" w:eastAsiaTheme="minorEastAsia" w:cstheme="minorEastAsia"/>
          <w:b w:val="0"/>
          <w:bCs/>
          <w:color w:val="auto"/>
          <w:sz w:val="24"/>
          <w:szCs w:val="24"/>
        </w:rPr>
        <w:t>格式</w:t>
      </w:r>
      <w:bookmarkStart w:id="379" w:name="_Toc245819136"/>
      <w:bookmarkEnd w:id="367"/>
      <w:r>
        <w:rPr>
          <w:rFonts w:hint="eastAsia" w:asciiTheme="minorEastAsia" w:hAnsiTheme="minorEastAsia" w:eastAsiaTheme="minorEastAsia" w:cstheme="minorEastAsia"/>
          <w:b w:val="0"/>
          <w:bCs/>
          <w:color w:val="auto"/>
          <w:sz w:val="24"/>
          <w:szCs w:val="24"/>
        </w:rPr>
        <w:t>3：资格声明函</w:t>
      </w:r>
      <w:bookmarkEnd w:id="368"/>
      <w:bookmarkEnd w:id="369"/>
      <w:bookmarkEnd w:id="370"/>
      <w:bookmarkEnd w:id="371"/>
      <w:bookmarkEnd w:id="374"/>
      <w:bookmarkEnd w:id="375"/>
      <w:bookmarkEnd w:id="376"/>
      <w:bookmarkEnd w:id="377"/>
      <w:bookmarkEnd w:id="378"/>
    </w:p>
    <w:p>
      <w:pPr>
        <w:snapToGrid w:val="0"/>
        <w:spacing w:before="240"/>
        <w:jc w:val="center"/>
        <w:outlineLvl w:val="9"/>
        <w:rPr>
          <w:rFonts w:hint="eastAsia" w:ascii="黑体" w:hAnsi="黑体" w:eastAsia="黑体" w:cs="黑体"/>
          <w:b w:val="0"/>
          <w:bCs/>
          <w:color w:val="auto"/>
          <w:sz w:val="32"/>
          <w:szCs w:val="32"/>
        </w:rPr>
      </w:pPr>
      <w:bookmarkStart w:id="380" w:name="_Toc22105"/>
      <w:bookmarkStart w:id="381" w:name="_Toc14511"/>
      <w:bookmarkStart w:id="382" w:name="_Toc27463"/>
      <w:r>
        <w:rPr>
          <w:rFonts w:hint="eastAsia" w:ascii="黑体" w:hAnsi="黑体" w:eastAsia="黑体" w:cs="黑体"/>
          <w:b w:val="0"/>
          <w:bCs/>
          <w:color w:val="auto"/>
          <w:sz w:val="32"/>
          <w:szCs w:val="32"/>
        </w:rPr>
        <w:t>资格声明函</w:t>
      </w:r>
      <w:bookmarkEnd w:id="372"/>
      <w:bookmarkEnd w:id="373"/>
      <w:bookmarkEnd w:id="379"/>
      <w:bookmarkEnd w:id="380"/>
      <w:bookmarkEnd w:id="381"/>
      <w:bookmarkEnd w:id="382"/>
    </w:p>
    <w:p>
      <w:pPr>
        <w:snapToGrid w:val="0"/>
        <w:spacing w:before="240"/>
        <w:jc w:val="center"/>
        <w:outlineLvl w:val="1"/>
        <w:rPr>
          <w:rFonts w:hint="eastAsia" w:ascii="黑体" w:hAnsi="黑体" w:eastAsia="黑体" w:cs="黑体"/>
          <w:b w:val="0"/>
          <w:bCs/>
          <w:color w:val="auto"/>
          <w:sz w:val="13"/>
          <w:szCs w:val="13"/>
        </w:rPr>
      </w:pPr>
    </w:p>
    <w:p>
      <w:pPr>
        <w:spacing w:line="30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致：</w:t>
      </w:r>
      <w:r>
        <w:rPr>
          <w:rFonts w:hint="eastAsia" w:asciiTheme="minorEastAsia" w:hAnsiTheme="minorEastAsia" w:eastAsiaTheme="minorEastAsia" w:cstheme="minorEastAsia"/>
          <w:b/>
          <w:color w:val="auto"/>
          <w:sz w:val="21"/>
          <w:szCs w:val="21"/>
        </w:rPr>
        <w:t>广州检验检测认证集团有限公司</w:t>
      </w:r>
    </w:p>
    <w:p>
      <w:pPr>
        <w:spacing w:line="300" w:lineRule="auto"/>
        <w:ind w:firstLine="5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关于贵</w:t>
      </w:r>
      <w:r>
        <w:rPr>
          <w:rFonts w:hint="eastAsia" w:asciiTheme="minorEastAsia" w:hAnsiTheme="minorEastAsia" w:eastAsiaTheme="minorEastAsia" w:cstheme="minorEastAsia"/>
          <w:color w:val="auto"/>
          <w:sz w:val="21"/>
          <w:szCs w:val="21"/>
          <w:lang w:val="en-US" w:eastAsia="zh-CN"/>
        </w:rPr>
        <w:t>方</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日</w:t>
      </w:r>
      <w:r>
        <w:rPr>
          <w:rFonts w:hint="eastAsia" w:asciiTheme="minorEastAsia" w:hAnsiTheme="minorEastAsia" w:eastAsiaTheme="minorEastAsia" w:cstheme="minorEastAsia"/>
          <w:color w:val="auto"/>
          <w:sz w:val="21"/>
          <w:szCs w:val="21"/>
        </w:rPr>
        <w:t>发布（项目名称）项目（项目编号：）的采购公告，本公司（企业）愿意参</w:t>
      </w:r>
      <w:r>
        <w:rPr>
          <w:rFonts w:hint="eastAsia" w:asciiTheme="minorEastAsia" w:hAnsiTheme="minorEastAsia" w:eastAsiaTheme="minorEastAsia" w:cstheme="minorEastAsia"/>
          <w:color w:val="auto"/>
          <w:sz w:val="21"/>
          <w:szCs w:val="21"/>
          <w:lang w:val="en-US" w:eastAsia="zh-CN"/>
        </w:rPr>
        <w:t>与响应，</w:t>
      </w:r>
      <w:r>
        <w:rPr>
          <w:rFonts w:hint="eastAsia" w:asciiTheme="minorEastAsia" w:hAnsiTheme="minorEastAsia" w:eastAsiaTheme="minorEastAsia" w:cstheme="minorEastAsia"/>
          <w:color w:val="auto"/>
          <w:sz w:val="21"/>
          <w:szCs w:val="21"/>
        </w:rPr>
        <w:t>提供采购人需求中规定的全部内容，并按采购文件要求提交所附资格文件且声明和保证如下：</w:t>
      </w:r>
    </w:p>
    <w:p>
      <w:pPr>
        <w:widowControl/>
        <w:numPr>
          <w:ilvl w:val="0"/>
          <w:numId w:val="17"/>
        </w:numPr>
        <w:spacing w:line="300" w:lineRule="auto"/>
        <w:ind w:left="425" w:leftChars="0" w:hanging="425"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我方为本次响应所提交的所有证明我方提供</w:t>
      </w:r>
      <w:r>
        <w:rPr>
          <w:rFonts w:hint="eastAsia" w:asciiTheme="minorEastAsia" w:hAnsiTheme="minorEastAsia" w:eastAsiaTheme="minorEastAsia" w:cstheme="minorEastAsia"/>
          <w:color w:val="auto"/>
          <w:sz w:val="21"/>
          <w:szCs w:val="21"/>
          <w:highlight w:val="none"/>
          <w:lang w:eastAsia="zh-CN"/>
        </w:rPr>
        <w:t>系统</w:t>
      </w:r>
      <w:r>
        <w:rPr>
          <w:rFonts w:hint="eastAsia" w:asciiTheme="minorEastAsia" w:hAnsiTheme="minorEastAsia" w:eastAsiaTheme="minorEastAsia" w:cstheme="minorEastAsia"/>
          <w:color w:val="auto"/>
          <w:sz w:val="21"/>
          <w:szCs w:val="21"/>
          <w:highlight w:val="none"/>
        </w:rPr>
        <w:t>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pPr>
        <w:numPr>
          <w:ilvl w:val="0"/>
          <w:numId w:val="17"/>
        </w:numPr>
        <w:spacing w:line="360" w:lineRule="auto"/>
        <w:ind w:left="425" w:leftChars="0" w:hanging="425"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我方在参与本次响应时，符合 《中华人民共和国政府采购法》第二十二条响应人资格条件要求及其他法律法规规定要求。</w:t>
      </w:r>
    </w:p>
    <w:p>
      <w:pPr>
        <w:widowControl/>
        <w:numPr>
          <w:ilvl w:val="0"/>
          <w:numId w:val="17"/>
        </w:numPr>
        <w:spacing w:line="300" w:lineRule="auto"/>
        <w:ind w:left="425" w:leftChars="0" w:hanging="425"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我方</w:t>
      </w:r>
      <w:r>
        <w:rPr>
          <w:rFonts w:hint="eastAsia" w:asciiTheme="minorEastAsia" w:hAnsiTheme="minorEastAsia" w:eastAsiaTheme="minorEastAsia" w:cstheme="minorEastAsia"/>
          <w:color w:val="auto"/>
          <w:sz w:val="21"/>
          <w:szCs w:val="21"/>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numPr>
          <w:ilvl w:val="0"/>
          <w:numId w:val="17"/>
        </w:numPr>
        <w:spacing w:line="360" w:lineRule="auto"/>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lang w:eastAsia="zh-CN"/>
        </w:rPr>
        <w:t>我方具有相关行业</w:t>
      </w:r>
      <w:r>
        <w:rPr>
          <w:rFonts w:hint="eastAsia" w:asciiTheme="minorEastAsia" w:hAnsiTheme="minorEastAsia" w:eastAsiaTheme="minorEastAsia" w:cstheme="minorEastAsia"/>
          <w:color w:val="auto"/>
          <w:szCs w:val="21"/>
          <w:highlight w:val="none"/>
          <w:lang w:val="en-US" w:eastAsia="zh-CN"/>
        </w:rPr>
        <w:t>项目业绩</w:t>
      </w:r>
      <w:r>
        <w:rPr>
          <w:rFonts w:hint="eastAsia" w:asciiTheme="minorEastAsia" w:hAnsiTheme="minorEastAsia" w:eastAsiaTheme="minorEastAsia" w:cstheme="minorEastAsia"/>
          <w:color w:val="auto"/>
          <w:szCs w:val="21"/>
          <w:highlight w:val="none"/>
          <w:lang w:eastAsia="zh-CN"/>
        </w:rPr>
        <w:t>（提供合同要点和验收报告复印件加盖竞选人公章）。</w:t>
      </w:r>
    </w:p>
    <w:p>
      <w:pPr>
        <w:widowControl/>
        <w:numPr>
          <w:ilvl w:val="0"/>
          <w:numId w:val="17"/>
        </w:numPr>
        <w:spacing w:line="300" w:lineRule="auto"/>
        <w:ind w:left="425" w:leftChars="0" w:hanging="425"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我方如被选定为成交供应商，除不可抗力原因外，将在规定时间内与采购人签订合同。</w:t>
      </w:r>
    </w:p>
    <w:p>
      <w:pPr>
        <w:widowControl/>
        <w:spacing w:line="30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如有违反上述声明之情形，采购人有权取消我方成交资格并提交相关监管部门处理。</w:t>
      </w:r>
    </w:p>
    <w:p>
      <w:pPr>
        <w:widowControl/>
        <w:spacing w:line="300" w:lineRule="auto"/>
        <w:jc w:val="left"/>
        <w:rPr>
          <w:rFonts w:hint="eastAsia" w:asciiTheme="minorEastAsia" w:hAnsiTheme="minorEastAsia" w:eastAsiaTheme="minorEastAsia" w:cstheme="minorEastAsia"/>
          <w:color w:val="auto"/>
          <w:sz w:val="21"/>
          <w:szCs w:val="21"/>
          <w:highlight w:val="none"/>
        </w:rPr>
      </w:pPr>
    </w:p>
    <w:p>
      <w:pPr>
        <w:spacing w:line="60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响应人全称:</w:t>
      </w:r>
      <w:r>
        <w:rPr>
          <w:rFonts w:hint="eastAsia" w:asciiTheme="minorEastAsia" w:hAnsiTheme="minorEastAsia" w:eastAsiaTheme="minorEastAsia" w:cstheme="minorEastAsia"/>
          <w:color w:val="auto"/>
          <w:sz w:val="21"/>
          <w:szCs w:val="21"/>
          <w:highlight w:val="none"/>
          <w:u w:val="single"/>
        </w:rPr>
        <w:t xml:space="preserve">                                              （加盖公章）</w:t>
      </w:r>
    </w:p>
    <w:p>
      <w:pPr>
        <w:tabs>
          <w:tab w:val="left" w:pos="4500"/>
        </w:tabs>
        <w:spacing w:line="60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法定代表人或其响应人授权代表(签字)：                                 </w:t>
      </w:r>
    </w:p>
    <w:p>
      <w:pPr>
        <w:tabs>
          <w:tab w:val="left" w:pos="4500"/>
        </w:tabs>
        <w:spacing w:line="600" w:lineRule="auto"/>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年    月    日</w:t>
      </w:r>
    </w:p>
    <w:p>
      <w:pPr>
        <w:snapToGrid w:val="0"/>
        <w:spacing w:before="240" w:line="360" w:lineRule="auto"/>
        <w:outlineLvl w:val="1"/>
        <w:rPr>
          <w:rFonts w:hint="eastAsia" w:asciiTheme="minorEastAsia" w:hAnsiTheme="minorEastAsia" w:eastAsiaTheme="minorEastAsia" w:cstheme="minorEastAsia"/>
          <w:b/>
          <w:color w:val="auto"/>
          <w:sz w:val="21"/>
          <w:szCs w:val="21"/>
          <w:highlight w:val="none"/>
        </w:rPr>
      </w:pPr>
      <w:bookmarkStart w:id="383" w:name="_Toc533236398"/>
      <w:bookmarkStart w:id="384" w:name="_Toc2341668"/>
      <w:bookmarkStart w:id="385" w:name="_Toc334797782"/>
      <w:bookmarkStart w:id="386" w:name="_Toc2341348"/>
      <w:bookmarkStart w:id="387" w:name="_Toc2341917"/>
      <w:bookmarkStart w:id="388" w:name="_Toc2341755"/>
      <w:r>
        <w:rPr>
          <w:rFonts w:hint="eastAsia" w:asciiTheme="minorEastAsia" w:hAnsiTheme="minorEastAsia" w:eastAsiaTheme="minorEastAsia" w:cstheme="minorEastAsia"/>
          <w:b/>
          <w:color w:val="auto"/>
          <w:sz w:val="21"/>
          <w:szCs w:val="21"/>
          <w:highlight w:val="none"/>
        </w:rPr>
        <w:br w:type="page"/>
      </w:r>
    </w:p>
    <w:p>
      <w:pPr>
        <w:snapToGrid w:val="0"/>
        <w:spacing w:before="240"/>
        <w:outlineLvl w:val="1"/>
        <w:rPr>
          <w:rFonts w:hint="eastAsia" w:asciiTheme="minorEastAsia" w:hAnsiTheme="minorEastAsia" w:eastAsiaTheme="minorEastAsia" w:cstheme="minorEastAsia"/>
          <w:b w:val="0"/>
          <w:bCs/>
          <w:color w:val="auto"/>
          <w:sz w:val="24"/>
          <w:szCs w:val="24"/>
          <w:highlight w:val="none"/>
        </w:rPr>
      </w:pPr>
      <w:bookmarkStart w:id="389" w:name="_Toc13816"/>
      <w:bookmarkStart w:id="390" w:name="_Toc32548_WPSOffice_Level1"/>
      <w:bookmarkStart w:id="391" w:name="_Toc31806"/>
      <w:bookmarkStart w:id="392" w:name="_Toc2592"/>
      <w:bookmarkStart w:id="393" w:name="_Toc28903"/>
      <w:r>
        <w:rPr>
          <w:rFonts w:hint="eastAsia" w:asciiTheme="minorEastAsia" w:hAnsiTheme="minorEastAsia" w:eastAsiaTheme="minorEastAsia" w:cstheme="minorEastAsia"/>
          <w:b w:val="0"/>
          <w:bCs/>
          <w:color w:val="auto"/>
          <w:sz w:val="24"/>
          <w:szCs w:val="24"/>
          <w:highlight w:val="none"/>
        </w:rPr>
        <w:t>格式4：实质性条款响应一览表</w:t>
      </w:r>
      <w:bookmarkEnd w:id="383"/>
      <w:bookmarkEnd w:id="384"/>
      <w:bookmarkEnd w:id="385"/>
      <w:bookmarkEnd w:id="386"/>
      <w:bookmarkEnd w:id="387"/>
      <w:bookmarkEnd w:id="388"/>
      <w:bookmarkEnd w:id="389"/>
      <w:bookmarkEnd w:id="390"/>
      <w:bookmarkEnd w:id="391"/>
      <w:bookmarkEnd w:id="392"/>
      <w:bookmarkEnd w:id="393"/>
    </w:p>
    <w:p>
      <w:pPr>
        <w:snapToGrid w:val="0"/>
        <w:spacing w:before="240"/>
        <w:jc w:val="center"/>
        <w:outlineLvl w:val="9"/>
        <w:rPr>
          <w:rFonts w:hint="eastAsia" w:ascii="黑体" w:hAnsi="黑体" w:eastAsia="黑体" w:cs="黑体"/>
          <w:b w:val="0"/>
          <w:bCs/>
          <w:color w:val="auto"/>
          <w:sz w:val="32"/>
          <w:szCs w:val="32"/>
          <w:highlight w:val="none"/>
        </w:rPr>
      </w:pPr>
      <w:bookmarkStart w:id="394" w:name="_Toc32412"/>
      <w:bookmarkStart w:id="395" w:name="_Toc13658"/>
      <w:bookmarkStart w:id="396" w:name="_Toc25098"/>
      <w:r>
        <w:rPr>
          <w:rFonts w:hint="eastAsia" w:ascii="黑体" w:hAnsi="黑体" w:eastAsia="黑体" w:cs="黑体"/>
          <w:b w:val="0"/>
          <w:bCs/>
          <w:color w:val="auto"/>
          <w:sz w:val="32"/>
          <w:szCs w:val="32"/>
          <w:highlight w:val="none"/>
        </w:rPr>
        <w:t>实质性条款响应一览表</w:t>
      </w:r>
      <w:bookmarkEnd w:id="394"/>
      <w:bookmarkEnd w:id="395"/>
      <w:bookmarkEnd w:id="396"/>
    </w:p>
    <w:p>
      <w:pPr>
        <w:spacing w:line="360" w:lineRule="auto"/>
        <w:rPr>
          <w:rFonts w:hint="eastAsia" w:asciiTheme="minorEastAsia" w:hAnsiTheme="minorEastAsia" w:eastAsiaTheme="minorEastAsia" w:cstheme="minorEastAsia"/>
          <w:color w:val="auto"/>
          <w:kern w:val="28"/>
          <w:sz w:val="21"/>
          <w:szCs w:val="21"/>
          <w:highlight w:val="none"/>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kern w:val="28"/>
          <w:sz w:val="21"/>
          <w:szCs w:val="21"/>
          <w:highlight w:val="none"/>
        </w:rPr>
        <w:t>：</w:t>
      </w:r>
      <w:r>
        <w:rPr>
          <w:rFonts w:hint="eastAsia" w:asciiTheme="minorEastAsia" w:hAnsiTheme="minorEastAsia" w:eastAsiaTheme="minorEastAsia" w:cstheme="minorEastAsia"/>
          <w:color w:val="auto"/>
          <w:kern w:val="28"/>
          <w:sz w:val="21"/>
          <w:szCs w:val="21"/>
          <w:highlight w:val="none"/>
          <w:u w:val="single"/>
        </w:rPr>
        <w:t xml:space="preserve">                                                           </w:t>
      </w:r>
    </w:p>
    <w:p>
      <w:pPr>
        <w:spacing w:after="240"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rPr>
        <w:t xml:space="preserve"> 志愿号：</w:t>
      </w:r>
      <w:r>
        <w:rPr>
          <w:rFonts w:hint="eastAsia" w:asciiTheme="minorEastAsia" w:hAnsiTheme="minorEastAsia" w:eastAsiaTheme="minorEastAsia" w:cstheme="minorEastAsia"/>
          <w:bCs/>
          <w:color w:val="auto"/>
          <w:sz w:val="21"/>
          <w:szCs w:val="21"/>
          <w:highlight w:val="none"/>
          <w:u w:val="single"/>
        </w:rPr>
        <w:t xml:space="preserve">                         </w:t>
      </w:r>
    </w:p>
    <w:tbl>
      <w:tblPr>
        <w:tblStyle w:val="1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51" w:type="dxa"/>
            <w:tcBorders>
              <w:top w:val="single" w:color="auto" w:sz="12" w:space="0"/>
              <w:lef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4252" w:type="dxa"/>
            <w:tcBorders>
              <w:top w:val="single" w:color="auto" w:sz="12" w:space="0"/>
              <w:left w:val="single" w:color="000000" w:sz="4"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带“</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
                <w:color w:val="auto"/>
                <w:sz w:val="21"/>
                <w:szCs w:val="21"/>
                <w:highlight w:val="none"/>
              </w:rPr>
              <w:t>”号响应内容</w:t>
            </w:r>
          </w:p>
        </w:tc>
        <w:tc>
          <w:tcPr>
            <w:tcW w:w="1985"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是否响应</w:t>
            </w:r>
          </w:p>
        </w:tc>
        <w:tc>
          <w:tcPr>
            <w:tcW w:w="1559" w:type="dxa"/>
            <w:tcBorders>
              <w:top w:val="single" w:color="auto" w:sz="12" w:space="0"/>
              <w:righ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851" w:type="dxa"/>
            <w:tcBorders>
              <w:lef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4252" w:type="dxa"/>
            <w:tcBorders>
              <w:left w:val="single" w:color="000000" w:sz="4"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合格响应人资格要求，响应文件格式带“</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rPr>
              <w:t>”内容</w:t>
            </w:r>
          </w:p>
        </w:tc>
        <w:tc>
          <w:tcPr>
            <w:tcW w:w="1985" w:type="dxa"/>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c>
          <w:tcPr>
            <w:tcW w:w="1559" w:type="dxa"/>
            <w:tcBorders>
              <w:righ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51" w:type="dxa"/>
            <w:tcBorders>
              <w:lef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4252" w:type="dxa"/>
            <w:tcBorders>
              <w:left w:val="single" w:color="000000" w:sz="4"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c>
          <w:tcPr>
            <w:tcW w:w="1985" w:type="dxa"/>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c>
          <w:tcPr>
            <w:tcW w:w="1559" w:type="dxa"/>
            <w:tcBorders>
              <w:righ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51" w:type="dxa"/>
            <w:tcBorders>
              <w:lef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252" w:type="dxa"/>
            <w:tcBorders>
              <w:left w:val="single" w:color="000000" w:sz="4"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c>
          <w:tcPr>
            <w:tcW w:w="1985" w:type="dxa"/>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c>
          <w:tcPr>
            <w:tcW w:w="1559" w:type="dxa"/>
            <w:tcBorders>
              <w:righ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51" w:type="dxa"/>
            <w:tcBorders>
              <w:left w:val="single" w:color="auto" w:sz="12" w:space="0"/>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4252" w:type="dxa"/>
            <w:tcBorders>
              <w:left w:val="single" w:color="000000" w:sz="4" w:space="0"/>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highlight w:val="none"/>
              </w:rPr>
            </w:pPr>
          </w:p>
        </w:tc>
        <w:tc>
          <w:tcPr>
            <w:tcW w:w="1985" w:type="dxa"/>
            <w:tcBorders>
              <w:bottom w:val="single" w:color="auto" w:sz="12" w:space="0"/>
            </w:tcBorders>
            <w:vAlign w:val="center"/>
          </w:tcPr>
          <w:p>
            <w:pPr>
              <w:spacing w:line="240" w:lineRule="exact"/>
              <w:ind w:left="902"/>
              <w:jc w:val="center"/>
              <w:rPr>
                <w:rFonts w:hint="eastAsia" w:asciiTheme="minorEastAsia" w:hAnsiTheme="minorEastAsia" w:eastAsiaTheme="minorEastAsia" w:cstheme="minorEastAsia"/>
                <w:color w:val="auto"/>
                <w:sz w:val="21"/>
                <w:szCs w:val="21"/>
                <w:highlight w:val="none"/>
              </w:rPr>
            </w:pPr>
          </w:p>
        </w:tc>
        <w:tc>
          <w:tcPr>
            <w:tcW w:w="1559" w:type="dxa"/>
            <w:tcBorders>
              <w:bottom w:val="single" w:color="auto" w:sz="12" w:space="0"/>
              <w:right w:val="single" w:color="auto" w:sz="12" w:space="0"/>
            </w:tcBorders>
            <w:vAlign w:val="center"/>
          </w:tcPr>
          <w:p>
            <w:pPr>
              <w:spacing w:line="240" w:lineRule="exact"/>
              <w:ind w:left="902"/>
              <w:jc w:val="center"/>
              <w:rPr>
                <w:rFonts w:hint="eastAsia" w:asciiTheme="minorEastAsia" w:hAnsiTheme="minorEastAsia" w:eastAsiaTheme="minorEastAsia" w:cstheme="minorEastAsia"/>
                <w:color w:val="auto"/>
                <w:sz w:val="21"/>
                <w:szCs w:val="21"/>
                <w:highlight w:val="none"/>
              </w:rPr>
            </w:pPr>
          </w:p>
        </w:tc>
      </w:tr>
    </w:tbl>
    <w:p>
      <w:pPr>
        <w:spacing w:before="240"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r>
        <w:rPr>
          <w:rFonts w:hint="eastAsia" w:asciiTheme="minorEastAsia" w:hAnsiTheme="minorEastAsia" w:eastAsiaTheme="minorEastAsia" w:cstheme="minorEastAsia"/>
          <w:bCs/>
          <w:color w:val="auto"/>
          <w:sz w:val="21"/>
          <w:szCs w:val="21"/>
          <w:highlight w:val="none"/>
        </w:rPr>
        <w:t>a. 响应人必须对应采购文件的 “★”号条款逐条应答并按要求填写下表。</w:t>
      </w:r>
    </w:p>
    <w:p>
      <w:pPr>
        <w:spacing w:line="360" w:lineRule="auto"/>
        <w:ind w:left="1041" w:leftChars="349" w:hanging="308" w:hangingChars="147"/>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b. 对完全响应的条目在下表相应列中选注“○”。</w:t>
      </w:r>
    </w:p>
    <w:p>
      <w:pPr>
        <w:spacing w:line="360" w:lineRule="auto"/>
        <w:ind w:left="936" w:leftChars="349" w:hanging="203" w:hangingChars="97"/>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c. 本表“是否响应”、“响应页码”不填写内容的视为完全响应。</w:t>
      </w:r>
    </w:p>
    <w:p>
      <w:pPr>
        <w:spacing w:line="360" w:lineRule="auto"/>
        <w:ind w:left="936" w:leftChars="349" w:hanging="203" w:hangingChars="97"/>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d.项目编号和志愿号可不填写</w:t>
      </w:r>
    </w:p>
    <w:p>
      <w:pPr>
        <w:spacing w:line="480" w:lineRule="auto"/>
        <w:rPr>
          <w:rFonts w:hint="eastAsia" w:asciiTheme="minorEastAsia" w:hAnsiTheme="minorEastAsia" w:eastAsiaTheme="minorEastAsia" w:cstheme="minorEastAsia"/>
          <w:color w:val="auto"/>
          <w:sz w:val="21"/>
          <w:szCs w:val="21"/>
        </w:rPr>
      </w:pPr>
    </w:p>
    <w:p>
      <w:pPr>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（加盖公章）</w:t>
      </w:r>
    </w:p>
    <w:p>
      <w:pPr>
        <w:tabs>
          <w:tab w:val="left" w:pos="4500"/>
        </w:tabs>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法定代表人或其响应人授权代表(签字)：                                 </w:t>
      </w:r>
    </w:p>
    <w:p>
      <w:pPr>
        <w:tabs>
          <w:tab w:val="left" w:pos="4500"/>
        </w:tabs>
        <w:spacing w:line="60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年    月    日</w:t>
      </w:r>
    </w:p>
    <w:p>
      <w:pPr>
        <w:spacing w:line="288" w:lineRule="auto"/>
        <w:rPr>
          <w:rFonts w:hint="eastAsia" w:asciiTheme="minorEastAsia" w:hAnsiTheme="minorEastAsia" w:eastAsiaTheme="minorEastAsia" w:cstheme="minorEastAsia"/>
          <w:color w:val="auto"/>
          <w:sz w:val="21"/>
          <w:szCs w:val="21"/>
        </w:rPr>
      </w:pPr>
    </w:p>
    <w:p>
      <w:pPr>
        <w:spacing w:line="288" w:lineRule="auto"/>
        <w:rPr>
          <w:rFonts w:hint="eastAsia" w:asciiTheme="minorEastAsia" w:hAnsiTheme="minorEastAsia" w:eastAsiaTheme="minorEastAsia" w:cstheme="minorEastAsia"/>
          <w:color w:val="auto"/>
          <w:sz w:val="21"/>
          <w:szCs w:val="21"/>
        </w:rPr>
      </w:pPr>
    </w:p>
    <w:p>
      <w:pPr>
        <w:widowControl/>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pPr>
        <w:snapToGrid w:val="0"/>
        <w:spacing w:before="240"/>
        <w:outlineLvl w:val="1"/>
        <w:rPr>
          <w:rFonts w:hint="eastAsia" w:asciiTheme="minorEastAsia" w:hAnsiTheme="minorEastAsia" w:eastAsiaTheme="minorEastAsia" w:cstheme="minorEastAsia"/>
          <w:b w:val="0"/>
          <w:bCs/>
          <w:color w:val="auto"/>
          <w:sz w:val="24"/>
          <w:szCs w:val="24"/>
        </w:rPr>
      </w:pPr>
      <w:bookmarkStart w:id="397" w:name="_Toc28428"/>
      <w:bookmarkStart w:id="398" w:name="_Toc2341757"/>
      <w:bookmarkStart w:id="399" w:name="_Toc2341919"/>
      <w:bookmarkStart w:id="400" w:name="_Toc22337_WPSOffice_Level1"/>
      <w:bookmarkStart w:id="401" w:name="_Toc2341670"/>
      <w:bookmarkStart w:id="402" w:name="_Toc12569"/>
      <w:bookmarkStart w:id="403" w:name="_Toc15713"/>
      <w:bookmarkStart w:id="404" w:name="_Toc4641"/>
      <w:bookmarkStart w:id="405" w:name="_Toc2341350"/>
      <w:bookmarkStart w:id="406" w:name="_Toc533236399"/>
      <w:bookmarkStart w:id="407" w:name="_Toc2341918"/>
      <w:bookmarkStart w:id="408" w:name="_Toc2341756"/>
      <w:bookmarkStart w:id="409" w:name="_Toc2341349"/>
      <w:bookmarkStart w:id="410" w:name="_Toc2341669"/>
      <w:r>
        <w:rPr>
          <w:rFonts w:hint="eastAsia" w:asciiTheme="minorEastAsia" w:hAnsiTheme="minorEastAsia" w:eastAsiaTheme="minorEastAsia" w:cstheme="minorEastAsia"/>
          <w:b w:val="0"/>
          <w:bCs/>
          <w:color w:val="auto"/>
          <w:sz w:val="24"/>
          <w:szCs w:val="24"/>
        </w:rPr>
        <w:t>格式</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：同意采购文件条款说明</w:t>
      </w:r>
      <w:bookmarkEnd w:id="397"/>
      <w:bookmarkEnd w:id="398"/>
      <w:bookmarkEnd w:id="399"/>
      <w:bookmarkEnd w:id="400"/>
      <w:bookmarkEnd w:id="401"/>
      <w:bookmarkEnd w:id="402"/>
      <w:bookmarkEnd w:id="403"/>
      <w:bookmarkEnd w:id="404"/>
      <w:bookmarkEnd w:id="405"/>
    </w:p>
    <w:p>
      <w:pPr>
        <w:snapToGrid w:val="0"/>
        <w:spacing w:before="240"/>
        <w:jc w:val="center"/>
        <w:outlineLvl w:val="9"/>
        <w:rPr>
          <w:rFonts w:hint="eastAsia" w:ascii="黑体" w:hAnsi="黑体" w:eastAsia="黑体" w:cs="黑体"/>
          <w:b w:val="0"/>
          <w:bCs/>
          <w:color w:val="auto"/>
          <w:sz w:val="32"/>
          <w:szCs w:val="32"/>
        </w:rPr>
      </w:pPr>
      <w:bookmarkStart w:id="411" w:name="_Toc29014"/>
      <w:bookmarkStart w:id="412" w:name="_Toc31746"/>
      <w:bookmarkStart w:id="413" w:name="_Toc6858"/>
      <w:r>
        <w:rPr>
          <w:rFonts w:hint="eastAsia" w:ascii="黑体" w:hAnsi="黑体" w:eastAsia="黑体" w:cs="黑体"/>
          <w:b w:val="0"/>
          <w:bCs/>
          <w:color w:val="auto"/>
          <w:sz w:val="32"/>
          <w:szCs w:val="32"/>
        </w:rPr>
        <w:t>同意采购文件条款说明</w:t>
      </w:r>
      <w:bookmarkEnd w:id="411"/>
      <w:bookmarkEnd w:id="412"/>
      <w:bookmarkEnd w:id="413"/>
    </w:p>
    <w:p>
      <w:pPr>
        <w:widowControl/>
        <w:spacing w:line="288" w:lineRule="auto"/>
        <w:rPr>
          <w:rFonts w:hint="eastAsia" w:asciiTheme="minorEastAsia" w:hAnsiTheme="minorEastAsia" w:eastAsiaTheme="minorEastAsia" w:cstheme="minorEastAsia"/>
          <w:color w:val="auto"/>
          <w:kern w:val="0"/>
          <w:sz w:val="21"/>
          <w:szCs w:val="21"/>
        </w:rPr>
      </w:pPr>
    </w:p>
    <w:p>
      <w:pPr>
        <w:widowControl/>
        <w:spacing w:line="288"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kern w:val="0"/>
          <w:sz w:val="21"/>
          <w:szCs w:val="21"/>
        </w:rPr>
        <w:t>致：</w:t>
      </w:r>
      <w:r>
        <w:rPr>
          <w:rFonts w:hint="eastAsia" w:asciiTheme="minorEastAsia" w:hAnsiTheme="minorEastAsia" w:eastAsiaTheme="minorEastAsia" w:cstheme="minorEastAsia"/>
          <w:b/>
          <w:color w:val="auto"/>
          <w:sz w:val="21"/>
          <w:szCs w:val="21"/>
        </w:rPr>
        <w:t>广州检验检测认证集团有限公司</w:t>
      </w:r>
    </w:p>
    <w:p>
      <w:pPr>
        <w:spacing w:line="288"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为响应</w:t>
      </w:r>
      <w:r>
        <w:rPr>
          <w:rFonts w:hint="eastAsia" w:asciiTheme="minorEastAsia" w:hAnsiTheme="minorEastAsia" w:eastAsiaTheme="minorEastAsia" w:cstheme="minorEastAsia"/>
          <w:color w:val="auto"/>
          <w:kern w:val="0"/>
          <w:sz w:val="21"/>
          <w:szCs w:val="21"/>
          <w:lang w:eastAsia="zh-CN"/>
        </w:rPr>
        <w:t>贵</w:t>
      </w:r>
      <w:r>
        <w:rPr>
          <w:rFonts w:hint="eastAsia" w:asciiTheme="minorEastAsia" w:hAnsiTheme="minorEastAsia" w:eastAsiaTheme="minorEastAsia" w:cstheme="minorEastAsia"/>
          <w:color w:val="auto"/>
          <w:kern w:val="0"/>
          <w:sz w:val="21"/>
          <w:szCs w:val="21"/>
        </w:rPr>
        <w:t>方组织的项目名称：</w:t>
      </w:r>
      <w:r>
        <w:rPr>
          <w:rFonts w:hint="eastAsia" w:asciiTheme="minorEastAsia" w:hAnsiTheme="minorEastAsia" w:eastAsiaTheme="minorEastAsia" w:cstheme="minorEastAsia"/>
          <w:color w:val="auto"/>
          <w:kern w:val="28"/>
          <w:sz w:val="21"/>
          <w:szCs w:val="21"/>
          <w:u w:val="single"/>
        </w:rPr>
        <w:t xml:space="preserve">                   </w:t>
      </w:r>
      <w:r>
        <w:rPr>
          <w:rFonts w:hint="eastAsia" w:asciiTheme="minorEastAsia" w:hAnsiTheme="minorEastAsia" w:eastAsiaTheme="minorEastAsia" w:cstheme="minorEastAsia"/>
          <w:color w:val="auto"/>
          <w:kern w:val="0"/>
          <w:sz w:val="21"/>
          <w:szCs w:val="21"/>
        </w:rPr>
        <w:t>，我方在参与响应前已详细研究了采购文件的所有内容，包括修改文件（</w:t>
      </w:r>
      <w:r>
        <w:rPr>
          <w:rFonts w:hint="eastAsia" w:asciiTheme="minorEastAsia" w:hAnsiTheme="minorEastAsia" w:eastAsiaTheme="minorEastAsia" w:cstheme="minorEastAsia"/>
          <w:color w:val="auto"/>
          <w:kern w:val="0"/>
          <w:sz w:val="21"/>
          <w:szCs w:val="21"/>
          <w:lang w:eastAsia="zh-CN"/>
        </w:rPr>
        <w:t>如有</w:t>
      </w:r>
      <w:r>
        <w:rPr>
          <w:rFonts w:hint="eastAsia" w:asciiTheme="minorEastAsia" w:hAnsiTheme="minorEastAsia" w:eastAsiaTheme="minorEastAsia" w:cstheme="minorEastAsia"/>
          <w:color w:val="auto"/>
          <w:kern w:val="0"/>
          <w:sz w:val="21"/>
          <w:szCs w:val="21"/>
        </w:rPr>
        <w:t>）和所有已提供的参考资料以及有关附件，我方完全明白并认为此采购文件没有倾向性，也没有存在排斥潜在响应人的内容，我方同意采购文件的相关条款。</w:t>
      </w:r>
    </w:p>
    <w:p>
      <w:pPr>
        <w:spacing w:line="288" w:lineRule="auto"/>
        <w:ind w:firstLine="478" w:firstLineChars="228"/>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特此声明。</w:t>
      </w:r>
    </w:p>
    <w:p>
      <w:pPr>
        <w:spacing w:line="600" w:lineRule="auto"/>
        <w:rPr>
          <w:rFonts w:hint="eastAsia" w:asciiTheme="minorEastAsia" w:hAnsiTheme="minorEastAsia" w:eastAsiaTheme="minorEastAsia" w:cstheme="minorEastAsia"/>
          <w:color w:val="auto"/>
          <w:sz w:val="21"/>
          <w:szCs w:val="21"/>
        </w:rPr>
      </w:pPr>
    </w:p>
    <w:p>
      <w:pPr>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（加盖公章）</w:t>
      </w:r>
    </w:p>
    <w:p>
      <w:pPr>
        <w:tabs>
          <w:tab w:val="left" w:pos="4500"/>
        </w:tabs>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法定代表人或其响应人授权代表(签字)：                                 </w:t>
      </w:r>
    </w:p>
    <w:p>
      <w:pPr>
        <w:tabs>
          <w:tab w:val="left" w:pos="4500"/>
        </w:tabs>
        <w:spacing w:line="60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年    月    日</w:t>
      </w:r>
    </w:p>
    <w:p>
      <w:pPr>
        <w:snapToGrid w:val="0"/>
        <w:spacing w:before="240"/>
        <w:outlineLvl w:val="1"/>
        <w:rPr>
          <w:rFonts w:hint="eastAsia" w:asciiTheme="minorEastAsia" w:hAnsiTheme="minorEastAsia" w:eastAsiaTheme="minorEastAsia" w:cstheme="minorEastAsia"/>
          <w:b w:val="0"/>
          <w:bCs/>
          <w:color w:val="auto"/>
          <w:sz w:val="24"/>
          <w:szCs w:val="24"/>
        </w:rPr>
      </w:pPr>
    </w:p>
    <w:p>
      <w:pPr>
        <w:snapToGrid w:val="0"/>
        <w:spacing w:before="240"/>
        <w:outlineLvl w:val="1"/>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br w:type="page"/>
      </w:r>
    </w:p>
    <w:p>
      <w:pPr>
        <w:snapToGrid w:val="0"/>
        <w:spacing w:before="240"/>
        <w:outlineLvl w:val="1"/>
        <w:rPr>
          <w:rFonts w:hint="eastAsia" w:asciiTheme="minorEastAsia" w:hAnsiTheme="minorEastAsia" w:eastAsiaTheme="minorEastAsia" w:cstheme="minorEastAsia"/>
          <w:b w:val="0"/>
          <w:bCs/>
          <w:color w:val="auto"/>
          <w:sz w:val="24"/>
          <w:szCs w:val="24"/>
        </w:rPr>
      </w:pPr>
      <w:bookmarkStart w:id="414" w:name="_Toc31101"/>
      <w:bookmarkStart w:id="415" w:name="_Toc17154_WPSOffice_Level1"/>
      <w:bookmarkStart w:id="416" w:name="_Toc23589"/>
      <w:bookmarkStart w:id="417" w:name="_Toc13488"/>
      <w:bookmarkStart w:id="418" w:name="_Toc13449"/>
      <w:r>
        <w:rPr>
          <w:rFonts w:hint="eastAsia" w:asciiTheme="minorEastAsia" w:hAnsiTheme="minorEastAsia" w:eastAsiaTheme="minorEastAsia" w:cstheme="minorEastAsia"/>
          <w:b w:val="0"/>
          <w:bCs/>
          <w:color w:val="auto"/>
          <w:sz w:val="24"/>
          <w:szCs w:val="24"/>
        </w:rPr>
        <w:t>格式</w:t>
      </w: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b w:val="0"/>
          <w:bCs/>
          <w:color w:val="auto"/>
          <w:sz w:val="24"/>
          <w:szCs w:val="24"/>
        </w:rPr>
        <w:t>：</w:t>
      </w:r>
      <w:bookmarkEnd w:id="406"/>
      <w:bookmarkEnd w:id="407"/>
      <w:bookmarkEnd w:id="408"/>
      <w:bookmarkEnd w:id="409"/>
      <w:bookmarkEnd w:id="410"/>
      <w:bookmarkEnd w:id="414"/>
      <w:bookmarkEnd w:id="415"/>
      <w:bookmarkEnd w:id="416"/>
      <w:bookmarkEnd w:id="417"/>
      <w:r>
        <w:rPr>
          <w:rFonts w:hint="eastAsia" w:asciiTheme="minorEastAsia" w:hAnsiTheme="minorEastAsia" w:eastAsiaTheme="minorEastAsia" w:cstheme="minorEastAsia"/>
          <w:b w:val="0"/>
          <w:bCs/>
          <w:color w:val="auto"/>
          <w:sz w:val="24"/>
          <w:szCs w:val="24"/>
        </w:rPr>
        <w:t>货物技术参数响应一览表</w:t>
      </w:r>
      <w:bookmarkEnd w:id="418"/>
    </w:p>
    <w:p>
      <w:pPr>
        <w:pStyle w:val="2"/>
        <w:rPr>
          <w:rFonts w:hint="eastAsia" w:asciiTheme="minorEastAsia" w:hAnsiTheme="minorEastAsia" w:eastAsiaTheme="minorEastAsia" w:cstheme="minorEastAsia"/>
          <w:b w:val="0"/>
          <w:bCs/>
          <w:color w:val="auto"/>
          <w:sz w:val="24"/>
          <w:szCs w:val="24"/>
        </w:rPr>
      </w:pPr>
    </w:p>
    <w:p>
      <w:pPr>
        <w:snapToGrid w:val="0"/>
        <w:spacing w:before="240"/>
        <w:jc w:val="center"/>
        <w:outlineLvl w:val="9"/>
        <w:rPr>
          <w:rFonts w:hint="eastAsia" w:ascii="黑体" w:hAnsi="黑体" w:eastAsia="黑体" w:cs="黑体"/>
          <w:b w:val="0"/>
          <w:bCs/>
          <w:color w:val="auto"/>
          <w:sz w:val="32"/>
          <w:szCs w:val="32"/>
        </w:rPr>
      </w:pPr>
      <w:bookmarkStart w:id="419" w:name="_Toc50691051"/>
      <w:r>
        <w:rPr>
          <w:rFonts w:hint="eastAsia" w:ascii="黑体" w:hAnsi="黑体" w:eastAsia="黑体" w:cs="黑体"/>
          <w:b w:val="0"/>
          <w:bCs/>
          <w:color w:val="auto"/>
          <w:sz w:val="32"/>
          <w:szCs w:val="32"/>
        </w:rPr>
        <w:t>货物技术参数响应一览表</w:t>
      </w:r>
      <w:bookmarkEnd w:id="419"/>
    </w:p>
    <w:p>
      <w:pPr>
        <w:pStyle w:val="2"/>
        <w:rPr>
          <w:rFonts w:hint="eastAsia" w:asciiTheme="minorEastAsia" w:hAnsiTheme="minorEastAsia" w:eastAsiaTheme="minorEastAsia" w:cstheme="minorEastAsia"/>
          <w:b w:val="0"/>
          <w:bCs/>
          <w:color w:val="auto"/>
          <w:sz w:val="24"/>
          <w:szCs w:val="24"/>
        </w:rPr>
      </w:pPr>
    </w:p>
    <w:p>
      <w:pPr>
        <w:snapToGrid w:val="0"/>
        <w:spacing w:before="240"/>
        <w:jc w:val="center"/>
        <w:outlineLvl w:val="1"/>
        <w:rPr>
          <w:rFonts w:hint="eastAsia" w:ascii="黑体" w:hAnsi="黑体" w:eastAsia="黑体" w:cs="黑体"/>
          <w:b w:val="0"/>
          <w:bCs/>
          <w:color w:val="auto"/>
          <w:sz w:val="2"/>
          <w:szCs w:val="2"/>
        </w:rPr>
      </w:pPr>
    </w:p>
    <w:tbl>
      <w:tblPr>
        <w:tblStyle w:val="13"/>
        <w:tblW w:w="90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790"/>
        <w:gridCol w:w="2325"/>
        <w:gridCol w:w="2032"/>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35" w:type="dxa"/>
            <w:tcBorders>
              <w:top w:val="single" w:color="auto" w:sz="12" w:space="0"/>
              <w:left w:val="single" w:color="auto" w:sz="12"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color w:val="auto"/>
                <w:szCs w:val="21"/>
              </w:rPr>
            </w:pPr>
            <w:bookmarkStart w:id="420" w:name="_Toc533236400"/>
            <w:bookmarkStart w:id="421" w:name="_Toc334797773"/>
            <w:bookmarkStart w:id="422" w:name="_Toc334797774"/>
            <w:r>
              <w:rPr>
                <w:rFonts w:hint="eastAsia" w:ascii="宋体" w:hAnsi="宋体" w:cstheme="minorEastAsia"/>
                <w:b/>
                <w:bCs/>
                <w:color w:val="auto"/>
              </w:rPr>
              <w:t>序号</w:t>
            </w:r>
          </w:p>
        </w:tc>
        <w:tc>
          <w:tcPr>
            <w:tcW w:w="2790"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color w:val="auto"/>
                <w:szCs w:val="21"/>
              </w:rPr>
            </w:pPr>
            <w:r>
              <w:rPr>
                <w:rFonts w:hint="eastAsia" w:ascii="宋体" w:hAnsi="宋体" w:cstheme="minorEastAsia"/>
                <w:b/>
                <w:bCs/>
                <w:color w:val="auto"/>
              </w:rPr>
              <w:t>采购文件条款描述</w:t>
            </w:r>
          </w:p>
        </w:tc>
        <w:tc>
          <w:tcPr>
            <w:tcW w:w="2325"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color w:val="auto"/>
                <w:szCs w:val="21"/>
              </w:rPr>
            </w:pPr>
            <w:r>
              <w:rPr>
                <w:rFonts w:hint="eastAsia" w:ascii="宋体" w:hAnsi="宋体" w:cstheme="minorEastAsia"/>
                <w:b/>
                <w:bCs/>
                <w:color w:val="auto"/>
              </w:rPr>
              <w:t>供应商响应描述</w:t>
            </w:r>
          </w:p>
          <w:p>
            <w:pPr>
              <w:adjustRightInd w:val="0"/>
              <w:snapToGrid w:val="0"/>
              <w:ind w:left="-71" w:leftChars="-34" w:right="-73" w:rightChars="-35"/>
              <w:jc w:val="center"/>
              <w:rPr>
                <w:rFonts w:ascii="宋体" w:hAnsi="宋体" w:cstheme="minorEastAsia"/>
                <w:b/>
                <w:bCs/>
                <w:color w:val="auto"/>
                <w:szCs w:val="21"/>
              </w:rPr>
            </w:pPr>
            <w:r>
              <w:rPr>
                <w:rFonts w:hint="eastAsia" w:ascii="宋体" w:hAnsi="宋体" w:cstheme="minorEastAsia"/>
                <w:b/>
                <w:bCs/>
                <w:color w:val="auto"/>
              </w:rPr>
              <w:t>(供应商应按响应货物/服务实际数据填写，不能照抄要求)</w:t>
            </w:r>
          </w:p>
        </w:tc>
        <w:tc>
          <w:tcPr>
            <w:tcW w:w="2032"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color w:val="auto"/>
                <w:szCs w:val="21"/>
              </w:rPr>
            </w:pPr>
            <w:r>
              <w:rPr>
                <w:rFonts w:hint="eastAsia" w:ascii="宋体" w:hAnsi="宋体" w:cstheme="minorEastAsia"/>
                <w:b/>
                <w:bCs/>
                <w:color w:val="auto"/>
              </w:rPr>
              <w:t>偏离情况说明</w:t>
            </w:r>
          </w:p>
          <w:p>
            <w:pPr>
              <w:adjustRightInd w:val="0"/>
              <w:snapToGrid w:val="0"/>
              <w:jc w:val="center"/>
              <w:rPr>
                <w:rFonts w:ascii="宋体" w:hAnsi="宋体" w:cstheme="minorEastAsia"/>
                <w:b/>
                <w:bCs/>
                <w:color w:val="auto"/>
                <w:szCs w:val="21"/>
              </w:rPr>
            </w:pPr>
            <w:r>
              <w:rPr>
                <w:rFonts w:hint="eastAsia" w:ascii="宋体" w:hAnsi="宋体" w:cstheme="minorEastAsia"/>
                <w:b/>
                <w:bCs/>
                <w:color w:val="auto"/>
              </w:rPr>
              <w:t>（正偏离/完全响应/负偏离）</w:t>
            </w:r>
          </w:p>
        </w:tc>
        <w:tc>
          <w:tcPr>
            <w:tcW w:w="1344" w:type="dxa"/>
            <w:tcBorders>
              <w:top w:val="single" w:color="auto" w:sz="12" w:space="0"/>
              <w:left w:val="single" w:color="auto" w:sz="4" w:space="0"/>
              <w:bottom w:val="double" w:color="auto" w:sz="2" w:space="0"/>
              <w:right w:val="single" w:color="auto" w:sz="12"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color w:val="auto"/>
                <w:szCs w:val="21"/>
              </w:rPr>
            </w:pPr>
            <w:r>
              <w:rPr>
                <w:rFonts w:hint="eastAsia" w:ascii="宋体" w:hAnsi="宋体" w:cstheme="minorEastAsia"/>
                <w:b/>
                <w:bCs/>
                <w:color w:val="auto"/>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宋体" w:hAnsi="宋体" w:cstheme="minorEastAsia"/>
                <w:b/>
                <w:bCs/>
                <w:color w:val="auto"/>
                <w:szCs w:val="21"/>
              </w:rPr>
            </w:pPr>
            <w:r>
              <w:rPr>
                <w:rFonts w:hint="eastAsia" w:ascii="宋体" w:hAnsi="宋体" w:cstheme="minorEastAsia"/>
                <w:b/>
                <w:bCs/>
                <w:color w:val="auto"/>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8"/>
              </w:numPr>
              <w:jc w:val="center"/>
              <w:rPr>
                <w:rFonts w:ascii="宋体" w:hAnsi="宋体" w:cstheme="minorEastAsia"/>
                <w:color w:val="auto"/>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color w:val="auto"/>
                <w:kern w:val="0"/>
                <w:szCs w:val="21"/>
              </w:rPr>
            </w:pPr>
            <w:r>
              <w:rPr>
                <w:rFonts w:hint="eastAsia" w:ascii="宋体" w:hAnsi="宋体" w:cstheme="minorEastAsia"/>
                <w:color w:val="auto"/>
              </w:rPr>
              <w:t>一、</w:t>
            </w:r>
            <w:r>
              <w:rPr>
                <w:rFonts w:hint="eastAsia" w:ascii="宋体" w:hAnsi="宋体" w:cstheme="minorEastAsia"/>
                <w:color w:val="auto"/>
                <w:kern w:val="0"/>
              </w:rPr>
              <w:t>第</w:t>
            </w:r>
            <w:r>
              <w:rPr>
                <w:rFonts w:hint="eastAsia" w:ascii="宋体" w:hAnsi="宋体" w:cstheme="minorEastAsia"/>
                <w:color w:val="auto"/>
                <w:kern w:val="0"/>
                <w:lang w:val="en-US" w:eastAsia="zh-CN"/>
              </w:rPr>
              <w:t>三</w:t>
            </w:r>
            <w:r>
              <w:rPr>
                <w:rFonts w:hint="eastAsia" w:ascii="宋体" w:hAnsi="宋体" w:cstheme="minorEastAsia"/>
                <w:color w:val="auto"/>
                <w:kern w:val="0"/>
              </w:rPr>
              <w:t>章</w:t>
            </w:r>
            <w:r>
              <w:rPr>
                <w:rFonts w:hint="eastAsia" w:ascii="宋体" w:hAnsi="宋体" w:cstheme="minorEastAsia"/>
                <w:color w:val="auto"/>
                <w:kern w:val="0"/>
                <w:lang w:val="en-US" w:eastAsia="zh-CN"/>
              </w:rPr>
              <w:t>用户</w:t>
            </w:r>
            <w:r>
              <w:rPr>
                <w:rFonts w:hint="eastAsia" w:ascii="宋体" w:hAnsi="宋体" w:cstheme="minorEastAsia"/>
                <w:color w:val="auto"/>
                <w:kern w:val="0"/>
              </w:rPr>
              <w:t>需求</w:t>
            </w:r>
            <w:r>
              <w:rPr>
                <w:rFonts w:hint="eastAsia" w:ascii="宋体" w:hAnsi="宋体" w:cstheme="minorEastAsia"/>
                <w:color w:val="auto"/>
                <w:kern w:val="0"/>
                <w:lang w:val="en-US" w:eastAsia="zh-CN"/>
              </w:rPr>
              <w:t>书</w:t>
            </w:r>
            <w:r>
              <w:rPr>
                <w:rFonts w:hint="eastAsia" w:ascii="宋体" w:hAnsi="宋体" w:cstheme="minorEastAsia"/>
                <w:color w:val="auto"/>
                <w:kern w:val="0"/>
              </w:rPr>
              <w:t>的技术</w:t>
            </w:r>
            <w:r>
              <w:rPr>
                <w:rFonts w:hint="eastAsia" w:ascii="宋体" w:hAnsi="宋体" w:cstheme="minorEastAsia"/>
                <w:color w:val="auto"/>
                <w:kern w:val="0"/>
                <w:lang w:val="en-US" w:eastAsia="zh-CN"/>
              </w:rPr>
              <w:t>参数</w:t>
            </w:r>
            <w:r>
              <w:rPr>
                <w:rFonts w:hint="eastAsia" w:ascii="宋体" w:hAnsi="宋体" w:cstheme="minorEastAsia"/>
                <w:color w:val="auto"/>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color w:val="auto"/>
                <w:szCs w:val="21"/>
              </w:rPr>
            </w:pPr>
            <w:r>
              <w:rPr>
                <w:rFonts w:hint="eastAsia" w:ascii="宋体" w:hAnsi="宋体" w:cstheme="minorEastAsia"/>
                <w:color w:val="auto"/>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8"/>
              </w:numPr>
              <w:jc w:val="center"/>
              <w:rPr>
                <w:rFonts w:ascii="宋体" w:hAnsi="宋体" w:cstheme="minorEastAsia"/>
                <w:color w:val="auto"/>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color w:val="auto"/>
                <w:kern w:val="0"/>
                <w:szCs w:val="21"/>
              </w:rPr>
            </w:pPr>
            <w:r>
              <w:rPr>
                <w:rFonts w:hint="eastAsia" w:ascii="宋体" w:hAnsi="宋体" w:cstheme="minorEastAsia"/>
                <w:color w:val="auto"/>
                <w:lang w:val="en-US" w:eastAsia="zh-CN"/>
              </w:rPr>
              <w:t>二</w:t>
            </w:r>
            <w:r>
              <w:rPr>
                <w:rFonts w:hint="eastAsia" w:ascii="宋体" w:hAnsi="宋体" w:cstheme="minorEastAsia"/>
                <w:color w:val="auto"/>
              </w:rPr>
              <w:t>、</w:t>
            </w:r>
            <w:r>
              <w:rPr>
                <w:rFonts w:hint="eastAsia" w:ascii="宋体" w:hAnsi="宋体" w:cstheme="minorEastAsia"/>
                <w:color w:val="auto"/>
                <w:kern w:val="0"/>
              </w:rPr>
              <w:t>第</w:t>
            </w:r>
            <w:r>
              <w:rPr>
                <w:rFonts w:hint="eastAsia" w:ascii="宋体" w:hAnsi="宋体" w:cstheme="minorEastAsia"/>
                <w:color w:val="auto"/>
                <w:kern w:val="0"/>
                <w:lang w:val="en-US" w:eastAsia="zh-CN"/>
              </w:rPr>
              <w:t>三</w:t>
            </w:r>
            <w:r>
              <w:rPr>
                <w:rFonts w:hint="eastAsia" w:ascii="宋体" w:hAnsi="宋体" w:cstheme="minorEastAsia"/>
                <w:color w:val="auto"/>
                <w:kern w:val="0"/>
              </w:rPr>
              <w:t>章</w:t>
            </w:r>
            <w:r>
              <w:rPr>
                <w:rFonts w:hint="eastAsia" w:ascii="宋体" w:hAnsi="宋体" w:cstheme="minorEastAsia"/>
                <w:color w:val="auto"/>
                <w:kern w:val="0"/>
                <w:lang w:val="en-US" w:eastAsia="zh-CN"/>
              </w:rPr>
              <w:t>用户</w:t>
            </w:r>
            <w:r>
              <w:rPr>
                <w:rFonts w:hint="eastAsia" w:ascii="宋体" w:hAnsi="宋体" w:cstheme="minorEastAsia"/>
                <w:color w:val="auto"/>
                <w:kern w:val="0"/>
              </w:rPr>
              <w:t>需求</w:t>
            </w:r>
            <w:r>
              <w:rPr>
                <w:rFonts w:hint="eastAsia" w:ascii="宋体" w:hAnsi="宋体" w:cstheme="minorEastAsia"/>
                <w:color w:val="auto"/>
                <w:kern w:val="0"/>
                <w:lang w:val="en-US" w:eastAsia="zh-CN"/>
              </w:rPr>
              <w:t>书</w:t>
            </w:r>
            <w:r>
              <w:rPr>
                <w:rFonts w:hint="eastAsia" w:ascii="宋体" w:hAnsi="宋体" w:cstheme="minorEastAsia"/>
                <w:color w:val="auto"/>
                <w:kern w:val="0"/>
              </w:rPr>
              <w:t>的技术</w:t>
            </w:r>
            <w:r>
              <w:rPr>
                <w:rFonts w:hint="eastAsia" w:ascii="宋体" w:hAnsi="宋体" w:cstheme="minorEastAsia"/>
                <w:color w:val="auto"/>
                <w:kern w:val="0"/>
                <w:lang w:val="en-US" w:eastAsia="zh-CN"/>
              </w:rPr>
              <w:t>参数</w:t>
            </w:r>
            <w:r>
              <w:rPr>
                <w:rFonts w:hint="eastAsia" w:ascii="宋体" w:hAnsi="宋体" w:cstheme="minorEastAsia"/>
                <w:color w:val="auto"/>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color w:val="auto"/>
                <w:szCs w:val="21"/>
              </w:rPr>
            </w:pPr>
            <w:r>
              <w:rPr>
                <w:rFonts w:hint="eastAsia" w:ascii="宋体" w:hAnsi="宋体" w:cstheme="minorEastAsia"/>
                <w:color w:val="auto"/>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8"/>
              </w:numPr>
              <w:jc w:val="center"/>
              <w:rPr>
                <w:rFonts w:ascii="宋体" w:hAnsi="宋体" w:cstheme="minorEastAsia"/>
                <w:color w:val="auto"/>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color w:val="auto"/>
                <w:kern w:val="0"/>
                <w:szCs w:val="21"/>
              </w:rPr>
            </w:pPr>
            <w:r>
              <w:rPr>
                <w:rFonts w:hint="eastAsia" w:ascii="宋体" w:hAnsi="宋体" w:cstheme="minorEastAsia"/>
                <w:color w:val="auto"/>
                <w:lang w:val="en-US" w:eastAsia="zh-CN"/>
              </w:rPr>
              <w:t>三</w:t>
            </w:r>
            <w:r>
              <w:rPr>
                <w:rFonts w:hint="eastAsia" w:ascii="宋体" w:hAnsi="宋体" w:cstheme="minorEastAsia"/>
                <w:color w:val="auto"/>
              </w:rPr>
              <w:t>、</w:t>
            </w:r>
            <w:r>
              <w:rPr>
                <w:rFonts w:hint="eastAsia" w:ascii="宋体" w:hAnsi="宋体" w:cstheme="minorEastAsia"/>
                <w:color w:val="auto"/>
                <w:kern w:val="0"/>
              </w:rPr>
              <w:t>第</w:t>
            </w:r>
            <w:r>
              <w:rPr>
                <w:rFonts w:hint="eastAsia" w:ascii="宋体" w:hAnsi="宋体" w:cstheme="minorEastAsia"/>
                <w:color w:val="auto"/>
                <w:kern w:val="0"/>
                <w:lang w:val="en-US" w:eastAsia="zh-CN"/>
              </w:rPr>
              <w:t>三</w:t>
            </w:r>
            <w:r>
              <w:rPr>
                <w:rFonts w:hint="eastAsia" w:ascii="宋体" w:hAnsi="宋体" w:cstheme="minorEastAsia"/>
                <w:color w:val="auto"/>
                <w:kern w:val="0"/>
              </w:rPr>
              <w:t>章</w:t>
            </w:r>
            <w:r>
              <w:rPr>
                <w:rFonts w:hint="eastAsia" w:ascii="宋体" w:hAnsi="宋体" w:cstheme="minorEastAsia"/>
                <w:color w:val="auto"/>
                <w:kern w:val="0"/>
                <w:lang w:val="en-US" w:eastAsia="zh-CN"/>
              </w:rPr>
              <w:t>用户</w:t>
            </w:r>
            <w:r>
              <w:rPr>
                <w:rFonts w:hint="eastAsia" w:ascii="宋体" w:hAnsi="宋体" w:cstheme="minorEastAsia"/>
                <w:color w:val="auto"/>
                <w:kern w:val="0"/>
              </w:rPr>
              <w:t>需求</w:t>
            </w:r>
            <w:r>
              <w:rPr>
                <w:rFonts w:hint="eastAsia" w:ascii="宋体" w:hAnsi="宋体" w:cstheme="minorEastAsia"/>
                <w:color w:val="auto"/>
                <w:kern w:val="0"/>
                <w:lang w:val="en-US" w:eastAsia="zh-CN"/>
              </w:rPr>
              <w:t>书</w:t>
            </w:r>
            <w:r>
              <w:rPr>
                <w:rFonts w:hint="eastAsia" w:ascii="宋体" w:hAnsi="宋体" w:cstheme="minorEastAsia"/>
                <w:color w:val="auto"/>
                <w:kern w:val="0"/>
              </w:rPr>
              <w:t>的技术</w:t>
            </w:r>
            <w:r>
              <w:rPr>
                <w:rFonts w:hint="eastAsia" w:ascii="宋体" w:hAnsi="宋体" w:cstheme="minorEastAsia"/>
                <w:color w:val="auto"/>
                <w:kern w:val="0"/>
                <w:lang w:val="en-US" w:eastAsia="zh-CN"/>
              </w:rPr>
              <w:t>参数</w:t>
            </w:r>
            <w:r>
              <w:rPr>
                <w:rFonts w:hint="eastAsia" w:ascii="宋体" w:hAnsi="宋体" w:cstheme="minorEastAsia"/>
                <w:color w:val="auto"/>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color w:val="auto"/>
                <w:szCs w:val="21"/>
              </w:rPr>
            </w:pPr>
            <w:r>
              <w:rPr>
                <w:rFonts w:hint="eastAsia" w:ascii="宋体" w:hAnsi="宋体" w:cstheme="minorEastAsia"/>
                <w:color w:val="auto"/>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宋体" w:hAnsi="宋体" w:cstheme="minorEastAsia"/>
                <w:b/>
                <w:bCs/>
                <w:color w:val="auto"/>
                <w:szCs w:val="21"/>
              </w:rPr>
            </w:pPr>
            <w:r>
              <w:rPr>
                <w:rFonts w:hint="eastAsia" w:ascii="宋体" w:hAnsi="宋体" w:cstheme="minorEastAsia"/>
                <w:b/>
                <w:bCs/>
                <w:color w:val="auto"/>
              </w:rPr>
              <w:t>一般技术条款（除带“★”之外的技术条款）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宋体" w:hAnsi="宋体" w:cstheme="minorEastAsia"/>
                <w:color w:val="auto"/>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cstheme="minorEastAsia"/>
                <w:color w:val="auto"/>
                <w:szCs w:val="21"/>
              </w:rPr>
            </w:pPr>
            <w:r>
              <w:rPr>
                <w:rFonts w:hint="eastAsia" w:ascii="宋体" w:hAnsi="宋体" w:cstheme="minorEastAsia"/>
                <w:color w:val="auto"/>
              </w:rPr>
              <w:t>一、</w:t>
            </w:r>
            <w:r>
              <w:rPr>
                <w:rFonts w:hint="eastAsia" w:ascii="宋体" w:hAnsi="宋体" w:cstheme="minorEastAsia"/>
                <w:color w:val="auto"/>
                <w:kern w:val="0"/>
              </w:rPr>
              <w:t>第</w:t>
            </w:r>
            <w:r>
              <w:rPr>
                <w:rFonts w:hint="eastAsia" w:ascii="宋体" w:hAnsi="宋体" w:cstheme="minorEastAsia"/>
                <w:color w:val="auto"/>
                <w:kern w:val="0"/>
                <w:lang w:val="en-US" w:eastAsia="zh-CN"/>
              </w:rPr>
              <w:t>三</w:t>
            </w:r>
            <w:r>
              <w:rPr>
                <w:rFonts w:hint="eastAsia" w:ascii="宋体" w:hAnsi="宋体" w:cstheme="minorEastAsia"/>
                <w:color w:val="auto"/>
                <w:kern w:val="0"/>
              </w:rPr>
              <w:t>章</w:t>
            </w:r>
            <w:r>
              <w:rPr>
                <w:rFonts w:hint="eastAsia" w:ascii="宋体" w:hAnsi="宋体" w:cstheme="minorEastAsia"/>
                <w:color w:val="auto"/>
                <w:kern w:val="0"/>
                <w:lang w:val="en-US" w:eastAsia="zh-CN"/>
              </w:rPr>
              <w:t>用户</w:t>
            </w:r>
            <w:r>
              <w:rPr>
                <w:rFonts w:hint="eastAsia" w:ascii="宋体" w:hAnsi="宋体" w:cstheme="minorEastAsia"/>
                <w:color w:val="auto"/>
                <w:kern w:val="0"/>
              </w:rPr>
              <w:t>需求</w:t>
            </w:r>
            <w:r>
              <w:rPr>
                <w:rFonts w:hint="eastAsia" w:ascii="宋体" w:hAnsi="宋体" w:cstheme="minorEastAsia"/>
                <w:color w:val="auto"/>
                <w:kern w:val="0"/>
                <w:lang w:val="en-US" w:eastAsia="zh-CN"/>
              </w:rPr>
              <w:t>书</w:t>
            </w:r>
            <w:r>
              <w:rPr>
                <w:rFonts w:hint="eastAsia" w:ascii="宋体" w:hAnsi="宋体" w:cstheme="minorEastAsia"/>
                <w:color w:val="auto"/>
                <w:kern w:val="0"/>
              </w:rPr>
              <w:t>的技术</w:t>
            </w:r>
            <w:r>
              <w:rPr>
                <w:rFonts w:hint="eastAsia" w:ascii="宋体" w:hAnsi="宋体" w:cstheme="minorEastAsia"/>
                <w:color w:val="auto"/>
                <w:kern w:val="0"/>
                <w:lang w:val="en-US" w:eastAsia="zh-CN"/>
              </w:rPr>
              <w:t>参数</w:t>
            </w:r>
            <w:r>
              <w:rPr>
                <w:rFonts w:hint="eastAsia" w:ascii="宋体" w:hAnsi="宋体" w:cstheme="minorEastAsia"/>
                <w:color w:val="auto"/>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color w:val="auto"/>
                <w:szCs w:val="21"/>
              </w:rPr>
            </w:pPr>
            <w:r>
              <w:rPr>
                <w:rFonts w:hint="eastAsia" w:ascii="宋体" w:hAnsi="宋体" w:cstheme="minorEastAsia"/>
                <w:color w:val="auto"/>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宋体" w:hAnsi="宋体" w:cstheme="minorEastAsia"/>
                <w:color w:val="auto"/>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cstheme="minorEastAsia"/>
                <w:color w:val="auto"/>
                <w:szCs w:val="21"/>
              </w:rPr>
            </w:pPr>
            <w:r>
              <w:rPr>
                <w:rFonts w:hint="eastAsia" w:ascii="宋体" w:hAnsi="宋体" w:cstheme="minorEastAsia"/>
                <w:color w:val="auto"/>
                <w:lang w:val="en-US" w:eastAsia="zh-CN"/>
              </w:rPr>
              <w:t>二</w:t>
            </w:r>
            <w:r>
              <w:rPr>
                <w:rFonts w:hint="eastAsia" w:ascii="宋体" w:hAnsi="宋体" w:cstheme="minorEastAsia"/>
                <w:color w:val="auto"/>
              </w:rPr>
              <w:t>、</w:t>
            </w:r>
            <w:r>
              <w:rPr>
                <w:rFonts w:hint="eastAsia" w:ascii="宋体" w:hAnsi="宋体" w:cstheme="minorEastAsia"/>
                <w:color w:val="auto"/>
                <w:kern w:val="0"/>
              </w:rPr>
              <w:t>第</w:t>
            </w:r>
            <w:r>
              <w:rPr>
                <w:rFonts w:hint="eastAsia" w:ascii="宋体" w:hAnsi="宋体" w:cstheme="minorEastAsia"/>
                <w:color w:val="auto"/>
                <w:kern w:val="0"/>
                <w:lang w:val="en-US" w:eastAsia="zh-CN"/>
              </w:rPr>
              <w:t>三</w:t>
            </w:r>
            <w:r>
              <w:rPr>
                <w:rFonts w:hint="eastAsia" w:ascii="宋体" w:hAnsi="宋体" w:cstheme="minorEastAsia"/>
                <w:color w:val="auto"/>
                <w:kern w:val="0"/>
              </w:rPr>
              <w:t>章</w:t>
            </w:r>
            <w:r>
              <w:rPr>
                <w:rFonts w:hint="eastAsia" w:ascii="宋体" w:hAnsi="宋体" w:cstheme="minorEastAsia"/>
                <w:color w:val="auto"/>
                <w:kern w:val="0"/>
                <w:lang w:val="en-US" w:eastAsia="zh-CN"/>
              </w:rPr>
              <w:t>用户</w:t>
            </w:r>
            <w:r>
              <w:rPr>
                <w:rFonts w:hint="eastAsia" w:ascii="宋体" w:hAnsi="宋体" w:cstheme="minorEastAsia"/>
                <w:color w:val="auto"/>
                <w:kern w:val="0"/>
              </w:rPr>
              <w:t>需求</w:t>
            </w:r>
            <w:r>
              <w:rPr>
                <w:rFonts w:hint="eastAsia" w:ascii="宋体" w:hAnsi="宋体" w:cstheme="minorEastAsia"/>
                <w:color w:val="auto"/>
                <w:kern w:val="0"/>
                <w:lang w:val="en-US" w:eastAsia="zh-CN"/>
              </w:rPr>
              <w:t>书</w:t>
            </w:r>
            <w:r>
              <w:rPr>
                <w:rFonts w:hint="eastAsia" w:ascii="宋体" w:hAnsi="宋体" w:cstheme="minorEastAsia"/>
                <w:color w:val="auto"/>
                <w:kern w:val="0"/>
              </w:rPr>
              <w:t>的技术</w:t>
            </w:r>
            <w:r>
              <w:rPr>
                <w:rFonts w:hint="eastAsia" w:ascii="宋体" w:hAnsi="宋体" w:cstheme="minorEastAsia"/>
                <w:color w:val="auto"/>
                <w:kern w:val="0"/>
                <w:lang w:val="en-US" w:eastAsia="zh-CN"/>
              </w:rPr>
              <w:t>参数</w:t>
            </w:r>
            <w:r>
              <w:rPr>
                <w:rFonts w:hint="eastAsia" w:ascii="宋体" w:hAnsi="宋体" w:cstheme="minorEastAsia"/>
                <w:color w:val="auto"/>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color w:val="auto"/>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color w:val="auto"/>
                <w:szCs w:val="21"/>
              </w:rPr>
            </w:pPr>
            <w:r>
              <w:rPr>
                <w:rFonts w:hint="eastAsia" w:ascii="宋体" w:hAnsi="宋体" w:cstheme="minorEastAsia"/>
                <w:color w:val="auto"/>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12" w:space="0"/>
              <w:right w:val="single" w:color="auto" w:sz="4" w:space="0"/>
            </w:tcBorders>
            <w:vAlign w:val="center"/>
          </w:tcPr>
          <w:p>
            <w:pPr>
              <w:numPr>
                <w:ilvl w:val="0"/>
                <w:numId w:val="19"/>
              </w:numPr>
              <w:jc w:val="center"/>
              <w:rPr>
                <w:rFonts w:ascii="宋体" w:hAnsi="宋体" w:cstheme="minorEastAsia"/>
                <w:color w:val="auto"/>
                <w:szCs w:val="21"/>
              </w:rPr>
            </w:pPr>
          </w:p>
        </w:tc>
        <w:tc>
          <w:tcPr>
            <w:tcW w:w="2790" w:type="dxa"/>
            <w:tcBorders>
              <w:top w:val="single" w:color="auto" w:sz="4" w:space="0"/>
              <w:left w:val="single" w:color="auto" w:sz="4" w:space="0"/>
              <w:bottom w:val="single" w:color="auto" w:sz="12" w:space="0"/>
              <w:right w:val="single" w:color="auto" w:sz="4" w:space="0"/>
            </w:tcBorders>
            <w:vAlign w:val="center"/>
          </w:tcPr>
          <w:p>
            <w:pPr>
              <w:rPr>
                <w:rFonts w:ascii="宋体" w:hAnsi="宋体" w:cstheme="minorEastAsia"/>
                <w:i/>
                <w:iCs/>
                <w:color w:val="auto"/>
                <w:szCs w:val="21"/>
              </w:rPr>
            </w:pPr>
            <w:r>
              <w:rPr>
                <w:rFonts w:hint="eastAsia" w:ascii="宋体" w:hAnsi="宋体" w:cstheme="minorEastAsia"/>
                <w:i/>
                <w:iCs/>
                <w:color w:val="auto"/>
              </w:rPr>
              <w:t>……（响应人按上述示例自行补充完整，并逐条响应）</w:t>
            </w:r>
          </w:p>
        </w:tc>
        <w:tc>
          <w:tcPr>
            <w:tcW w:w="232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宋体" w:hAnsi="宋体" w:cstheme="minorEastAsia"/>
                <w:b/>
                <w:bCs/>
                <w:color w:val="auto"/>
                <w:szCs w:val="21"/>
              </w:rPr>
            </w:pPr>
          </w:p>
        </w:tc>
        <w:tc>
          <w:tcPr>
            <w:tcW w:w="203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宋体" w:hAnsi="宋体" w:cstheme="minorEastAsia"/>
                <w:color w:val="auto"/>
                <w:szCs w:val="21"/>
              </w:rPr>
            </w:pPr>
          </w:p>
        </w:tc>
        <w:tc>
          <w:tcPr>
            <w:tcW w:w="1344" w:type="dxa"/>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rFonts w:ascii="宋体" w:hAnsi="宋体" w:cstheme="minorEastAsia"/>
                <w:color w:val="auto"/>
                <w:szCs w:val="21"/>
              </w:rPr>
            </w:pPr>
            <w:r>
              <w:rPr>
                <w:rFonts w:hint="eastAsia" w:ascii="宋体" w:hAnsi="宋体" w:cstheme="minorEastAsia"/>
                <w:color w:val="auto"/>
              </w:rPr>
              <w:t>见《响应文件》第页</w:t>
            </w:r>
          </w:p>
        </w:tc>
      </w:tr>
    </w:tbl>
    <w:p>
      <w:pPr>
        <w:spacing w:line="360" w:lineRule="auto"/>
        <w:ind w:right="84" w:rightChars="40"/>
        <w:rPr>
          <w:rFonts w:ascii="宋体" w:hAnsi="宋体" w:cstheme="minorEastAsia"/>
          <w:color w:val="auto"/>
          <w:szCs w:val="21"/>
        </w:rPr>
      </w:pPr>
      <w:r>
        <w:rPr>
          <w:rFonts w:hint="eastAsia" w:ascii="宋体" w:hAnsi="宋体" w:cstheme="minorEastAsia"/>
          <w:color w:val="auto"/>
        </w:rPr>
        <w:t>备注：</w:t>
      </w:r>
    </w:p>
    <w:p>
      <w:pPr>
        <w:numPr>
          <w:ilvl w:val="0"/>
          <w:numId w:val="20"/>
        </w:numPr>
        <w:adjustRightInd w:val="0"/>
        <w:snapToGrid w:val="0"/>
        <w:spacing w:line="460" w:lineRule="exact"/>
        <w:rPr>
          <w:rFonts w:ascii="宋体" w:hAnsi="宋体" w:cstheme="minorEastAsia"/>
          <w:color w:val="auto"/>
          <w:kern w:val="0"/>
        </w:rPr>
      </w:pPr>
      <w:r>
        <w:rPr>
          <w:rFonts w:hint="eastAsia" w:ascii="宋体" w:hAnsi="宋体" w:cstheme="minorEastAsia"/>
          <w:color w:val="auto"/>
          <w:kern w:val="0"/>
        </w:rPr>
        <w:t>用户需求中的条款要求提供的相关证明资料必须一并提供，否则视为不响应。</w:t>
      </w:r>
    </w:p>
    <w:p>
      <w:pPr>
        <w:numPr>
          <w:ilvl w:val="0"/>
          <w:numId w:val="20"/>
        </w:numPr>
        <w:adjustRightInd w:val="0"/>
        <w:snapToGrid w:val="0"/>
        <w:spacing w:line="460" w:lineRule="exact"/>
        <w:rPr>
          <w:rFonts w:ascii="宋体" w:hAnsi="宋体" w:cstheme="minorEastAsia"/>
          <w:color w:val="auto"/>
        </w:rPr>
      </w:pPr>
      <w:r>
        <w:rPr>
          <w:rFonts w:hint="eastAsia" w:ascii="宋体" w:hAnsi="宋体" w:cstheme="minorEastAsia"/>
          <w:color w:val="auto"/>
        </w:rPr>
        <w:t>“响应文件条款描述”的条款与用户需求中的条款描述不一致的，以用户需求中规定的为准。</w:t>
      </w:r>
    </w:p>
    <w:p>
      <w:pPr>
        <w:adjustRightInd w:val="0"/>
        <w:snapToGrid w:val="0"/>
        <w:spacing w:line="460" w:lineRule="exact"/>
        <w:ind w:left="420"/>
        <w:rPr>
          <w:rFonts w:ascii="宋体" w:hAnsi="宋体" w:cstheme="minorEastAsia"/>
          <w:color w:val="auto"/>
        </w:rPr>
      </w:pPr>
      <w:r>
        <w:rPr>
          <w:rFonts w:hint="eastAsia" w:ascii="宋体" w:hAnsi="宋体" w:cstheme="minorEastAsia"/>
          <w:color w:val="auto"/>
        </w:rPr>
        <w:t xml:space="preserve"> </w:t>
      </w:r>
    </w:p>
    <w:p>
      <w:pPr>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（加盖公章）</w:t>
      </w:r>
    </w:p>
    <w:p>
      <w:pPr>
        <w:tabs>
          <w:tab w:val="left" w:pos="4500"/>
        </w:tabs>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法定代表人或其响应人授权代表(签字)：                                 </w:t>
      </w:r>
    </w:p>
    <w:p>
      <w:pPr>
        <w:tabs>
          <w:tab w:val="left" w:pos="4500"/>
        </w:tabs>
        <w:spacing w:line="60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年    月    日</w:t>
      </w:r>
    </w:p>
    <w:bookmarkEnd w:id="420"/>
    <w:bookmarkEnd w:id="421"/>
    <w:p>
      <w:pPr>
        <w:snapToGrid w:val="0"/>
        <w:spacing w:before="240"/>
        <w:outlineLvl w:val="1"/>
        <w:rPr>
          <w:rFonts w:hint="eastAsia" w:asciiTheme="minorEastAsia" w:hAnsiTheme="minorEastAsia" w:eastAsiaTheme="minorEastAsia" w:cstheme="minorEastAsia"/>
          <w:b w:val="0"/>
          <w:bCs/>
          <w:color w:val="auto"/>
          <w:sz w:val="24"/>
          <w:szCs w:val="24"/>
        </w:rPr>
      </w:pPr>
      <w:bookmarkStart w:id="423" w:name="_Toc25373"/>
      <w:bookmarkStart w:id="424" w:name="_Toc2341758"/>
      <w:bookmarkStart w:id="425" w:name="_Toc533236401"/>
      <w:bookmarkStart w:id="426" w:name="_Toc28323_WPSOffice_Level1"/>
      <w:bookmarkStart w:id="427" w:name="_Toc2341351"/>
      <w:bookmarkStart w:id="428" w:name="_Toc2341671"/>
      <w:bookmarkStart w:id="429" w:name="_Toc2341920"/>
      <w:r>
        <w:rPr>
          <w:rFonts w:hint="eastAsia" w:asciiTheme="minorEastAsia" w:hAnsiTheme="minorEastAsia" w:eastAsiaTheme="minorEastAsia" w:cstheme="minorEastAsia"/>
          <w:b w:val="0"/>
          <w:bCs/>
          <w:color w:val="auto"/>
          <w:sz w:val="24"/>
          <w:szCs w:val="24"/>
        </w:rPr>
        <w:t>格式7：</w:t>
      </w:r>
      <w:r>
        <w:rPr>
          <w:rFonts w:hint="eastAsia" w:asciiTheme="minorEastAsia" w:hAnsiTheme="minorEastAsia" w:eastAsiaTheme="minorEastAsia" w:cstheme="minorEastAsia"/>
          <w:b w:val="0"/>
          <w:bCs/>
          <w:color w:val="auto"/>
          <w:sz w:val="24"/>
          <w:szCs w:val="24"/>
          <w:lang w:val="en-US" w:eastAsia="zh-CN"/>
        </w:rPr>
        <w:t>货物技术</w:t>
      </w:r>
      <w:r>
        <w:rPr>
          <w:rFonts w:hint="eastAsia" w:asciiTheme="minorEastAsia" w:hAnsiTheme="minorEastAsia" w:eastAsiaTheme="minorEastAsia" w:cstheme="minorEastAsia"/>
          <w:b w:val="0"/>
          <w:bCs/>
          <w:color w:val="auto"/>
          <w:sz w:val="24"/>
          <w:szCs w:val="24"/>
        </w:rPr>
        <w:t>服务方案</w:t>
      </w:r>
      <w:bookmarkEnd w:id="423"/>
    </w:p>
    <w:p>
      <w:pPr>
        <w:snapToGrid w:val="0"/>
        <w:spacing w:before="240"/>
        <w:jc w:val="center"/>
        <w:outlineLvl w:val="9"/>
        <w:rPr>
          <w:rFonts w:hint="eastAsia" w:ascii="黑体" w:hAnsi="黑体" w:eastAsia="黑体" w:cs="黑体"/>
          <w:b w:val="0"/>
          <w:bCs/>
          <w:color w:val="auto"/>
          <w:sz w:val="32"/>
          <w:szCs w:val="32"/>
        </w:rPr>
      </w:pPr>
      <w:bookmarkStart w:id="430" w:name="_Toc7919"/>
      <w:bookmarkStart w:id="431" w:name="_Toc13595"/>
      <w:bookmarkStart w:id="432" w:name="_Toc23275"/>
      <w:r>
        <w:rPr>
          <w:rFonts w:hint="eastAsia" w:ascii="黑体" w:hAnsi="黑体" w:eastAsia="黑体" w:cs="黑体"/>
          <w:b w:val="0"/>
          <w:bCs/>
          <w:color w:val="auto"/>
          <w:sz w:val="32"/>
          <w:szCs w:val="32"/>
          <w:lang w:val="en-US" w:eastAsia="zh-CN"/>
        </w:rPr>
        <w:t>货物</w:t>
      </w:r>
      <w:r>
        <w:rPr>
          <w:rFonts w:hint="eastAsia" w:ascii="黑体" w:hAnsi="黑体" w:eastAsia="黑体" w:cs="黑体"/>
          <w:b w:val="0"/>
          <w:bCs/>
          <w:color w:val="auto"/>
          <w:sz w:val="32"/>
          <w:szCs w:val="32"/>
          <w:lang w:eastAsia="zh-CN"/>
        </w:rPr>
        <w:t>技术</w:t>
      </w:r>
      <w:r>
        <w:rPr>
          <w:rFonts w:hint="eastAsia" w:ascii="黑体" w:hAnsi="黑体" w:eastAsia="黑体" w:cs="黑体"/>
          <w:b w:val="0"/>
          <w:bCs/>
          <w:color w:val="auto"/>
          <w:sz w:val="32"/>
          <w:szCs w:val="32"/>
        </w:rPr>
        <w:t>服务方案</w:t>
      </w:r>
      <w:bookmarkEnd w:id="430"/>
      <w:bookmarkEnd w:id="431"/>
      <w:bookmarkEnd w:id="432"/>
    </w:p>
    <w:p>
      <w:pPr>
        <w:adjustRightInd w:val="0"/>
        <w:snapToGrid w:val="0"/>
        <w:spacing w:line="360" w:lineRule="auto"/>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tabs>
          <w:tab w:val="left" w:pos="630"/>
        </w:tabs>
        <w:kinsoku/>
        <w:wordWrap/>
        <w:overflowPunct/>
        <w:topLinePunct w:val="0"/>
        <w:autoSpaceDE/>
        <w:autoSpaceDN/>
        <w:bidi w:val="0"/>
        <w:adjustRightInd/>
        <w:spacing w:line="240" w:lineRule="auto"/>
        <w:ind w:leftChars="100" w:right="0" w:rightChars="0"/>
        <w:jc w:val="both"/>
        <w:textAlignment w:val="auto"/>
        <w:outlineLvl w:val="9"/>
        <w:rPr>
          <w:rFonts w:ascii="宋体" w:hAnsi="宋体"/>
          <w:b/>
          <w:color w:val="auto"/>
          <w:sz w:val="21"/>
          <w:szCs w:val="21"/>
        </w:rPr>
      </w:pPr>
      <w:r>
        <w:rPr>
          <w:rFonts w:hint="eastAsia" w:ascii="宋体" w:hAnsi="宋体"/>
          <w:b/>
          <w:color w:val="auto"/>
          <w:sz w:val="21"/>
          <w:szCs w:val="21"/>
        </w:rPr>
        <w:t>主要内容应包括但不限于以下内容</w:t>
      </w:r>
      <w:r>
        <w:rPr>
          <w:rFonts w:hint="eastAsia" w:asciiTheme="minorEastAsia" w:hAnsiTheme="minorEastAsia" w:eastAsiaTheme="minorEastAsia" w:cstheme="minorEastAsia"/>
          <w:b/>
          <w:bCs/>
          <w:color w:val="auto"/>
          <w:sz w:val="21"/>
          <w:szCs w:val="21"/>
          <w:highlight w:val="none"/>
        </w:rPr>
        <w:t>（格式自定）</w:t>
      </w:r>
      <w:r>
        <w:rPr>
          <w:rFonts w:hint="eastAsia" w:ascii="宋体" w:hAnsi="宋体"/>
          <w:b/>
          <w:color w:val="auto"/>
          <w:sz w:val="21"/>
          <w:szCs w:val="21"/>
        </w:rPr>
        <w:t>：</w:t>
      </w:r>
    </w:p>
    <w:p>
      <w:pPr>
        <w:pStyle w:val="2"/>
        <w:rPr>
          <w:rFonts w:hint="eastAsia" w:ascii="宋体" w:hAnsi="宋体"/>
          <w:color w:val="auto"/>
          <w:sz w:val="21"/>
          <w:szCs w:val="21"/>
        </w:rPr>
      </w:pP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响应货物的详细情况</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响应货物的技术参数和实施方案。</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响应人认为对响应有利的其他资料。</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响应技术服务方案</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产品质量保证、安全保障措施；</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整体供货、配送方案；</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质保期及售后服务承诺，关键技术及难点问题的解决等方案；</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售后维修/服务点名称、电话，负责人员及地址（附售后维修/服务点的证明材料）。</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详细说明维护期内的维修保养方案、价格费用及应急维修时间安排、维修服务收费标准。</w:t>
      </w:r>
    </w:p>
    <w:p>
      <w:pPr>
        <w:keepNext w:val="0"/>
        <w:keepLines w:val="0"/>
        <w:pageBreakBefore w:val="0"/>
        <w:widowControl w:val="0"/>
        <w:numPr>
          <w:ilvl w:val="3"/>
          <w:numId w:val="21"/>
        </w:numPr>
        <w:tabs>
          <w:tab w:val="left" w:pos="630"/>
          <w:tab w:val="clear" w:pos="1680"/>
        </w:tabs>
        <w:kinsoku/>
        <w:wordWrap/>
        <w:overflowPunct/>
        <w:topLinePunct w:val="0"/>
        <w:autoSpaceDE/>
        <w:autoSpaceDN/>
        <w:bidi w:val="0"/>
        <w:adjustRightInd/>
        <w:spacing w:line="240" w:lineRule="auto"/>
        <w:ind w:left="210" w:leftChars="100" w:right="0" w:rightChars="0"/>
        <w:jc w:val="both"/>
        <w:textAlignment w:val="auto"/>
        <w:outlineLvl w:val="9"/>
        <w:rPr>
          <w:rFonts w:hint="eastAsia" w:ascii="宋体" w:hAnsi="宋体"/>
          <w:color w:val="auto"/>
          <w:sz w:val="21"/>
          <w:szCs w:val="21"/>
          <w:highlight w:val="none"/>
        </w:rPr>
      </w:pPr>
      <w:r>
        <w:rPr>
          <w:rFonts w:hint="eastAsia" w:ascii="宋体" w:hAnsi="宋体"/>
          <w:color w:val="auto"/>
          <w:sz w:val="21"/>
          <w:szCs w:val="21"/>
          <w:highlight w:val="none"/>
        </w:rPr>
        <w:t>响应人认为对响应有利的其他资料。</w:t>
      </w:r>
    </w:p>
    <w:p>
      <w:pPr>
        <w:pStyle w:val="2"/>
        <w:rPr>
          <w:rFonts w:hint="eastAsia" w:ascii="宋体" w:hAnsi="宋体"/>
          <w:color w:val="auto"/>
          <w:sz w:val="21"/>
          <w:szCs w:val="21"/>
        </w:rPr>
      </w:pPr>
    </w:p>
    <w:p>
      <w:pPr>
        <w:keepNext w:val="0"/>
        <w:keepLines w:val="0"/>
        <w:pageBreakBefore w:val="0"/>
        <w:widowControl w:val="0"/>
        <w:kinsoku/>
        <w:wordWrap/>
        <w:overflowPunct/>
        <w:topLinePunct w:val="0"/>
        <w:autoSpaceDE/>
        <w:autoSpaceDN/>
        <w:bidi w:val="0"/>
        <w:adjustRightInd/>
        <w:spacing w:line="240" w:lineRule="auto"/>
        <w:ind w:right="0" w:rightChars="0"/>
        <w:jc w:val="both"/>
        <w:textAlignment w:val="auto"/>
        <w:outlineLvl w:val="9"/>
        <w:rPr>
          <w:rFonts w:hint="eastAsia" w:ascii="宋体" w:hAnsi="宋体"/>
          <w:bCs/>
          <w:color w:val="auto"/>
          <w:sz w:val="21"/>
          <w:szCs w:val="21"/>
        </w:rPr>
      </w:pPr>
    </w:p>
    <w:p>
      <w:pPr>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（加盖公章）</w:t>
      </w:r>
    </w:p>
    <w:p>
      <w:pPr>
        <w:tabs>
          <w:tab w:val="left" w:pos="4500"/>
        </w:tabs>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法定代表人或其响应人授权代表(签字)：                                 </w:t>
      </w:r>
    </w:p>
    <w:p>
      <w:pPr>
        <w:tabs>
          <w:tab w:val="left" w:pos="4500"/>
        </w:tabs>
        <w:spacing w:line="60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年    月    日</w:t>
      </w: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rPr>
          <w:rFonts w:hint="eastAsia" w:asciiTheme="minorEastAsia" w:hAnsiTheme="minorEastAsia" w:eastAsiaTheme="minorEastAsia" w:cstheme="minorEastAsia"/>
          <w:b w:val="0"/>
          <w:bCs/>
          <w:color w:val="auto"/>
          <w:sz w:val="24"/>
          <w:szCs w:val="24"/>
        </w:rPr>
      </w:pPr>
    </w:p>
    <w:p>
      <w:pPr>
        <w:widowControl/>
        <w:jc w:val="left"/>
        <w:outlineLvl w:val="1"/>
        <w:rPr>
          <w:rFonts w:hint="eastAsia" w:asciiTheme="minorEastAsia" w:hAnsiTheme="minorEastAsia" w:eastAsiaTheme="minorEastAsia" w:cstheme="minorEastAsia"/>
          <w:b w:val="0"/>
          <w:bCs/>
          <w:color w:val="auto"/>
          <w:sz w:val="24"/>
          <w:szCs w:val="24"/>
        </w:rPr>
      </w:pPr>
      <w:bookmarkStart w:id="433" w:name="_Toc9900"/>
      <w:r>
        <w:rPr>
          <w:rFonts w:hint="eastAsia" w:asciiTheme="minorEastAsia" w:hAnsiTheme="minorEastAsia" w:eastAsiaTheme="minorEastAsia" w:cstheme="minorEastAsia"/>
          <w:b w:val="0"/>
          <w:bCs/>
          <w:color w:val="auto"/>
          <w:sz w:val="24"/>
          <w:szCs w:val="24"/>
          <w:lang w:val="en-US" w:eastAsia="zh-CN"/>
        </w:rPr>
        <w:t>格式8：</w:t>
      </w:r>
      <w:r>
        <w:rPr>
          <w:rFonts w:hint="eastAsia" w:asciiTheme="minorEastAsia" w:hAnsiTheme="minorEastAsia" w:eastAsiaTheme="minorEastAsia" w:cstheme="minorEastAsia"/>
          <w:b w:val="0"/>
          <w:bCs/>
          <w:color w:val="auto"/>
          <w:sz w:val="24"/>
          <w:szCs w:val="24"/>
        </w:rPr>
        <w:t>201</w:t>
      </w:r>
      <w:r>
        <w:rPr>
          <w:rFonts w:hint="eastAsia" w:asciiTheme="minorEastAsia" w:hAnsiTheme="minorEastAsia" w:eastAsiaTheme="minorEastAsia" w:cstheme="minorEastAsia"/>
          <w:b w:val="0"/>
          <w:bCs/>
          <w:color w:val="auto"/>
          <w:sz w:val="24"/>
          <w:szCs w:val="24"/>
          <w:lang w:val="en-US" w:eastAsia="zh-CN"/>
        </w:rPr>
        <w:t>7</w:t>
      </w:r>
      <w:r>
        <w:rPr>
          <w:rFonts w:hint="eastAsia" w:asciiTheme="minorEastAsia" w:hAnsiTheme="minorEastAsia" w:eastAsiaTheme="minorEastAsia" w:cstheme="minorEastAsia"/>
          <w:b w:val="0"/>
          <w:bCs/>
          <w:color w:val="auto"/>
          <w:sz w:val="24"/>
          <w:szCs w:val="24"/>
        </w:rPr>
        <w:t>年至今同类项目业绩情况一览表</w:t>
      </w:r>
      <w:bookmarkEnd w:id="422"/>
      <w:bookmarkEnd w:id="424"/>
      <w:bookmarkEnd w:id="425"/>
      <w:bookmarkEnd w:id="426"/>
      <w:bookmarkEnd w:id="427"/>
      <w:bookmarkEnd w:id="428"/>
      <w:bookmarkEnd w:id="429"/>
      <w:bookmarkEnd w:id="433"/>
    </w:p>
    <w:p>
      <w:pPr>
        <w:snapToGrid w:val="0"/>
        <w:spacing w:before="240"/>
        <w:jc w:val="center"/>
        <w:outlineLvl w:val="9"/>
        <w:rPr>
          <w:rFonts w:hint="eastAsia" w:ascii="黑体" w:hAnsi="黑体" w:eastAsia="黑体" w:cs="黑体"/>
          <w:b w:val="0"/>
          <w:bCs/>
          <w:color w:val="auto"/>
          <w:sz w:val="32"/>
          <w:szCs w:val="32"/>
        </w:rPr>
      </w:pPr>
      <w:bookmarkStart w:id="434" w:name="_Toc31418"/>
      <w:bookmarkStart w:id="435" w:name="_Toc14429"/>
      <w:bookmarkStart w:id="436" w:name="_Toc14427"/>
      <w:r>
        <w:rPr>
          <w:rFonts w:hint="eastAsia" w:ascii="黑体" w:hAnsi="黑体" w:eastAsia="黑体" w:cs="黑体"/>
          <w:b w:val="0"/>
          <w:bCs/>
          <w:color w:val="auto"/>
          <w:sz w:val="32"/>
          <w:szCs w:val="32"/>
          <w:highlight w:val="none"/>
        </w:rPr>
        <w:t>201</w:t>
      </w:r>
      <w:r>
        <w:rPr>
          <w:rFonts w:hint="eastAsia" w:ascii="黑体" w:hAnsi="黑体" w:eastAsia="黑体" w:cs="黑体"/>
          <w:b w:val="0"/>
          <w:bCs/>
          <w:color w:val="auto"/>
          <w:sz w:val="32"/>
          <w:szCs w:val="32"/>
          <w:highlight w:val="none"/>
          <w:lang w:val="en-US" w:eastAsia="zh-CN"/>
        </w:rPr>
        <w:t>7</w:t>
      </w:r>
      <w:r>
        <w:rPr>
          <w:rFonts w:hint="eastAsia" w:ascii="黑体" w:hAnsi="黑体" w:eastAsia="黑体" w:cs="黑体"/>
          <w:b w:val="0"/>
          <w:bCs/>
          <w:color w:val="auto"/>
          <w:sz w:val="32"/>
          <w:szCs w:val="32"/>
          <w:highlight w:val="none"/>
        </w:rPr>
        <w:t>年</w:t>
      </w:r>
      <w:r>
        <w:rPr>
          <w:rFonts w:hint="eastAsia" w:ascii="黑体" w:hAnsi="黑体" w:eastAsia="黑体" w:cs="黑体"/>
          <w:b w:val="0"/>
          <w:bCs/>
          <w:color w:val="auto"/>
          <w:sz w:val="32"/>
          <w:szCs w:val="32"/>
        </w:rPr>
        <w:t>至今同类项目业绩情况一览表</w:t>
      </w:r>
      <w:bookmarkEnd w:id="434"/>
      <w:bookmarkEnd w:id="435"/>
      <w:bookmarkEnd w:id="436"/>
    </w:p>
    <w:p>
      <w:pPr>
        <w:spacing w:line="360" w:lineRule="auto"/>
        <w:rPr>
          <w:rFonts w:hint="eastAsia" w:asciiTheme="minorEastAsia" w:hAnsiTheme="minorEastAsia" w:eastAsiaTheme="minorEastAsia" w:cstheme="minorEastAsia"/>
          <w:color w:val="auto"/>
          <w:sz w:val="21"/>
          <w:szCs w:val="21"/>
        </w:rPr>
      </w:pPr>
    </w:p>
    <w:p>
      <w:pPr>
        <w:spacing w:line="360" w:lineRule="auto"/>
        <w:rPr>
          <w:rFonts w:hint="eastAsia" w:asciiTheme="minorEastAsia" w:hAnsiTheme="minorEastAsia" w:eastAsiaTheme="minorEastAsia" w:cstheme="minorEastAsia"/>
          <w:color w:val="auto"/>
          <w:kern w:val="28"/>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kern w:val="28"/>
          <w:sz w:val="21"/>
          <w:szCs w:val="21"/>
        </w:rPr>
        <w:t>：</w:t>
      </w:r>
      <w:r>
        <w:rPr>
          <w:rFonts w:hint="eastAsia" w:asciiTheme="minorEastAsia" w:hAnsiTheme="minorEastAsia" w:eastAsiaTheme="minorEastAsia" w:cstheme="minorEastAsia"/>
          <w:color w:val="auto"/>
          <w:kern w:val="28"/>
          <w:sz w:val="21"/>
          <w:szCs w:val="21"/>
          <w:u w:val="single"/>
        </w:rPr>
        <w:t xml:space="preserve">                                                           </w:t>
      </w:r>
    </w:p>
    <w:p>
      <w:pPr>
        <w:spacing w:after="240"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bCs/>
          <w:color w:val="auto"/>
          <w:sz w:val="21"/>
          <w:szCs w:val="21"/>
          <w:u w:val="single"/>
        </w:rPr>
        <w:t xml:space="preserve">                        </w:t>
      </w:r>
      <w:r>
        <w:rPr>
          <w:rFonts w:hint="eastAsia" w:asciiTheme="minorEastAsia" w:hAnsiTheme="minorEastAsia" w:eastAsiaTheme="minorEastAsia" w:cstheme="minorEastAsia"/>
          <w:bCs/>
          <w:color w:val="auto"/>
          <w:sz w:val="21"/>
          <w:szCs w:val="21"/>
        </w:rPr>
        <w:t xml:space="preserve"> 志愿号：</w:t>
      </w:r>
      <w:r>
        <w:rPr>
          <w:rFonts w:hint="eastAsia" w:asciiTheme="minorEastAsia" w:hAnsiTheme="minorEastAsia" w:eastAsiaTheme="minorEastAsia" w:cstheme="minorEastAsia"/>
          <w:bCs/>
          <w:color w:val="auto"/>
          <w:sz w:val="21"/>
          <w:szCs w:val="21"/>
          <w:u w:val="single"/>
        </w:rPr>
        <w:t xml:space="preserve">                         </w:t>
      </w:r>
    </w:p>
    <w:tbl>
      <w:tblPr>
        <w:tblStyle w:val="13"/>
        <w:tblW w:w="8781"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435"/>
        <w:gridCol w:w="1363"/>
        <w:gridCol w:w="1574"/>
        <w:gridCol w:w="1148"/>
        <w:gridCol w:w="1160"/>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559" w:type="dxa"/>
            <w:tcBorders>
              <w:top w:val="single" w:color="auto" w:sz="12" w:space="0"/>
              <w:left w:val="single" w:color="auto" w:sz="12" w:space="0"/>
            </w:tcBorders>
            <w:shd w:val="clear" w:color="auto" w:fill="D0CECE" w:themeFill="background2" w:themeFillShade="E6"/>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1435" w:type="dxa"/>
            <w:tcBorders>
              <w:top w:val="single" w:color="auto" w:sz="12" w:space="0"/>
            </w:tcBorders>
            <w:shd w:val="clear" w:color="auto" w:fill="D0CECE" w:themeFill="background2" w:themeFillShade="E6"/>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业主名称</w:t>
            </w:r>
          </w:p>
        </w:tc>
        <w:tc>
          <w:tcPr>
            <w:tcW w:w="1363" w:type="dxa"/>
            <w:tcBorders>
              <w:top w:val="single" w:color="auto" w:sz="12" w:space="0"/>
            </w:tcBorders>
            <w:shd w:val="clear" w:color="auto" w:fill="D0CECE" w:themeFill="background2" w:themeFillShade="E6"/>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项目名称</w:t>
            </w:r>
          </w:p>
        </w:tc>
        <w:tc>
          <w:tcPr>
            <w:tcW w:w="1574" w:type="dxa"/>
            <w:tcBorders>
              <w:top w:val="single" w:color="auto" w:sz="12" w:space="0"/>
            </w:tcBorders>
            <w:shd w:val="clear" w:color="auto" w:fill="D0CECE" w:themeFill="background2" w:themeFillShade="E6"/>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合同总价</w:t>
            </w:r>
          </w:p>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（单位/万元）</w:t>
            </w:r>
          </w:p>
        </w:tc>
        <w:tc>
          <w:tcPr>
            <w:tcW w:w="1148" w:type="dxa"/>
            <w:tcBorders>
              <w:top w:val="single" w:color="auto" w:sz="12" w:space="0"/>
            </w:tcBorders>
            <w:shd w:val="clear" w:color="auto" w:fill="D0CECE" w:themeFill="background2" w:themeFillShade="E6"/>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签约及完成时间</w:t>
            </w:r>
          </w:p>
        </w:tc>
        <w:tc>
          <w:tcPr>
            <w:tcW w:w="1160" w:type="dxa"/>
            <w:tcBorders>
              <w:top w:val="single" w:color="auto" w:sz="12" w:space="0"/>
              <w:right w:val="single" w:color="auto" w:sz="12" w:space="0"/>
            </w:tcBorders>
            <w:shd w:val="clear" w:color="auto" w:fill="D0CECE" w:themeFill="background2" w:themeFillShade="E6"/>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单位联系人及电话</w:t>
            </w:r>
          </w:p>
        </w:tc>
        <w:tc>
          <w:tcPr>
            <w:tcW w:w="1542" w:type="dxa"/>
            <w:tcBorders>
              <w:top w:val="single" w:color="auto" w:sz="12" w:space="0"/>
              <w:left w:val="single" w:color="auto" w:sz="4" w:space="0"/>
              <w:bottom w:val="double" w:color="auto" w:sz="2" w:space="0"/>
              <w:right w:val="single" w:color="auto" w:sz="12" w:space="0"/>
            </w:tcBorders>
            <w:shd w:val="clear" w:color="auto" w:fill="EEECE1"/>
            <w:textDirection w:val="lrTb"/>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559" w:type="dxa"/>
            <w:tcBorders>
              <w:left w:val="single" w:color="auto" w:sz="12" w:space="0"/>
              <w:bottom w:val="single" w:color="auto" w:sz="12" w:space="0"/>
            </w:tcBorders>
            <w:vAlign w:val="center"/>
          </w:tcPr>
          <w:p>
            <w:pPr>
              <w:jc w:val="center"/>
              <w:rPr>
                <w:rFonts w:hint="eastAsia" w:asciiTheme="minorEastAsia" w:hAnsiTheme="minorEastAsia" w:eastAsiaTheme="minorEastAsia" w:cstheme="minorEastAsia"/>
                <w:color w:val="auto"/>
                <w:sz w:val="21"/>
                <w:szCs w:val="21"/>
              </w:rPr>
            </w:pPr>
          </w:p>
        </w:tc>
        <w:tc>
          <w:tcPr>
            <w:tcW w:w="1435" w:type="dxa"/>
            <w:tcBorders>
              <w:bottom w:val="single" w:color="auto" w:sz="12" w:space="0"/>
            </w:tcBorders>
            <w:vAlign w:val="center"/>
          </w:tcPr>
          <w:p>
            <w:pPr>
              <w:jc w:val="center"/>
              <w:rPr>
                <w:rFonts w:hint="eastAsia" w:asciiTheme="minorEastAsia" w:hAnsiTheme="minorEastAsia" w:eastAsiaTheme="minorEastAsia" w:cstheme="minorEastAsia"/>
                <w:color w:val="auto"/>
                <w:sz w:val="21"/>
                <w:szCs w:val="21"/>
              </w:rPr>
            </w:pPr>
          </w:p>
        </w:tc>
        <w:tc>
          <w:tcPr>
            <w:tcW w:w="1363" w:type="dxa"/>
            <w:tcBorders>
              <w:bottom w:val="single" w:color="auto" w:sz="12" w:space="0"/>
            </w:tcBorders>
            <w:vAlign w:val="center"/>
          </w:tcPr>
          <w:p>
            <w:pPr>
              <w:jc w:val="center"/>
              <w:rPr>
                <w:rFonts w:hint="eastAsia" w:asciiTheme="minorEastAsia" w:hAnsiTheme="minorEastAsia" w:eastAsiaTheme="minorEastAsia" w:cstheme="minorEastAsia"/>
                <w:color w:val="auto"/>
                <w:sz w:val="21"/>
                <w:szCs w:val="21"/>
              </w:rPr>
            </w:pPr>
          </w:p>
        </w:tc>
        <w:tc>
          <w:tcPr>
            <w:tcW w:w="1574" w:type="dxa"/>
            <w:tcBorders>
              <w:bottom w:val="single" w:color="auto" w:sz="12" w:space="0"/>
            </w:tcBorders>
            <w:vAlign w:val="center"/>
          </w:tcPr>
          <w:p>
            <w:pPr>
              <w:jc w:val="center"/>
              <w:rPr>
                <w:rFonts w:hint="eastAsia" w:asciiTheme="minorEastAsia" w:hAnsiTheme="minorEastAsia" w:eastAsiaTheme="minorEastAsia" w:cstheme="minorEastAsia"/>
                <w:color w:val="auto"/>
                <w:sz w:val="21"/>
                <w:szCs w:val="21"/>
              </w:rPr>
            </w:pPr>
          </w:p>
        </w:tc>
        <w:tc>
          <w:tcPr>
            <w:tcW w:w="1148" w:type="dxa"/>
            <w:tcBorders>
              <w:bottom w:val="single" w:color="auto" w:sz="12" w:space="0"/>
            </w:tcBorders>
            <w:vAlign w:val="center"/>
          </w:tcPr>
          <w:p>
            <w:pPr>
              <w:jc w:val="center"/>
              <w:rPr>
                <w:rFonts w:hint="eastAsia" w:asciiTheme="minorEastAsia" w:hAnsiTheme="minorEastAsia" w:eastAsiaTheme="minorEastAsia" w:cstheme="minorEastAsia"/>
                <w:color w:val="auto"/>
                <w:sz w:val="21"/>
                <w:szCs w:val="21"/>
              </w:rPr>
            </w:pPr>
          </w:p>
        </w:tc>
        <w:tc>
          <w:tcPr>
            <w:tcW w:w="1160" w:type="dxa"/>
            <w:tcBorders>
              <w:bottom w:val="single" w:color="auto" w:sz="12" w:space="0"/>
              <w:right w:val="single" w:color="auto" w:sz="12" w:space="0"/>
            </w:tcBorders>
            <w:vAlign w:val="center"/>
          </w:tcPr>
          <w:p>
            <w:pPr>
              <w:jc w:val="center"/>
              <w:rPr>
                <w:rFonts w:hint="eastAsia" w:asciiTheme="minorEastAsia" w:hAnsiTheme="minorEastAsia" w:eastAsiaTheme="minorEastAsia" w:cstheme="minorEastAsia"/>
                <w:color w:val="auto"/>
                <w:sz w:val="21"/>
                <w:szCs w:val="21"/>
              </w:rPr>
            </w:pPr>
          </w:p>
        </w:tc>
        <w:tc>
          <w:tcPr>
            <w:tcW w:w="1542" w:type="dxa"/>
            <w:tcBorders>
              <w:top w:val="single" w:color="auto" w:sz="4" w:space="0"/>
              <w:left w:val="single" w:color="auto" w:sz="4" w:space="0"/>
              <w:bottom w:val="single" w:color="auto" w:sz="12" w:space="0"/>
              <w:right w:val="single" w:color="auto" w:sz="12" w:space="0"/>
            </w:tcBorders>
            <w:textDirection w:val="lrTb"/>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见《响应文件》第页</w:t>
            </w:r>
          </w:p>
        </w:tc>
      </w:tr>
    </w:tbl>
    <w:p>
      <w:pPr>
        <w:spacing w:before="240" w:line="300" w:lineRule="auto"/>
        <w:ind w:left="470" w:hanging="411" w:hangingChars="19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注：</w:t>
      </w:r>
      <w:r>
        <w:rPr>
          <w:rFonts w:hint="eastAsia" w:asciiTheme="minorEastAsia" w:hAnsiTheme="minorEastAsia" w:eastAsiaTheme="minorEastAsia" w:cstheme="minorEastAsia"/>
          <w:color w:val="auto"/>
          <w:sz w:val="21"/>
          <w:szCs w:val="21"/>
          <w:highlight w:val="none"/>
        </w:rPr>
        <w:t>请附上合同、验收报告等同类业绩</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证明资料</w:t>
      </w:r>
      <w:r>
        <w:rPr>
          <w:rFonts w:hint="eastAsia" w:asciiTheme="minorEastAsia" w:hAnsiTheme="minorEastAsia" w:eastAsiaTheme="minorEastAsia" w:cstheme="minorEastAsia"/>
          <w:color w:val="auto"/>
          <w:sz w:val="21"/>
          <w:szCs w:val="21"/>
        </w:rPr>
        <w:t>，评审细则另有要求的，按评审细则提供。</w:t>
      </w:r>
    </w:p>
    <w:p>
      <w:pPr>
        <w:spacing w:line="600" w:lineRule="auto"/>
        <w:rPr>
          <w:rFonts w:hint="eastAsia" w:asciiTheme="minorEastAsia" w:hAnsiTheme="minorEastAsia" w:eastAsiaTheme="minorEastAsia" w:cstheme="minorEastAsia"/>
          <w:color w:val="auto"/>
          <w:sz w:val="21"/>
          <w:szCs w:val="21"/>
        </w:rPr>
      </w:pPr>
    </w:p>
    <w:p>
      <w:pPr>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（加盖公章）</w:t>
      </w:r>
    </w:p>
    <w:p>
      <w:pPr>
        <w:tabs>
          <w:tab w:val="left" w:pos="4500"/>
        </w:tabs>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法定代表人或其响应人授权代表(签字)：                                 </w:t>
      </w:r>
    </w:p>
    <w:p>
      <w:pPr>
        <w:tabs>
          <w:tab w:val="left" w:pos="4500"/>
        </w:tabs>
        <w:spacing w:line="60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年    月    日</w:t>
      </w:r>
    </w:p>
    <w:p>
      <w:pPr>
        <w:pStyle w:val="7"/>
        <w:spacing w:line="300" w:lineRule="auto"/>
        <w:ind w:firstLine="0"/>
        <w:rPr>
          <w:rFonts w:hint="eastAsia" w:asciiTheme="minorEastAsia" w:hAnsiTheme="minorEastAsia" w:eastAsiaTheme="minorEastAsia" w:cstheme="minorEastAsia"/>
          <w:color w:val="auto"/>
          <w:sz w:val="21"/>
          <w:szCs w:val="21"/>
        </w:rPr>
      </w:pPr>
    </w:p>
    <w:p>
      <w:pPr>
        <w:pStyle w:val="7"/>
        <w:spacing w:line="300" w:lineRule="auto"/>
        <w:ind w:firstLine="0"/>
        <w:rPr>
          <w:rFonts w:hint="eastAsia" w:asciiTheme="minorEastAsia" w:hAnsiTheme="minorEastAsia" w:eastAsiaTheme="minorEastAsia" w:cstheme="minorEastAsia"/>
          <w:color w:val="auto"/>
          <w:sz w:val="21"/>
          <w:szCs w:val="21"/>
        </w:rPr>
      </w:pPr>
    </w:p>
    <w:p>
      <w:pPr>
        <w:widowControl/>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br w:type="page"/>
      </w:r>
    </w:p>
    <w:p>
      <w:pPr>
        <w:snapToGrid w:val="0"/>
        <w:spacing w:before="240"/>
        <w:outlineLvl w:val="1"/>
        <w:rPr>
          <w:rFonts w:hint="eastAsia" w:asciiTheme="minorEastAsia" w:hAnsiTheme="minorEastAsia" w:eastAsiaTheme="minorEastAsia" w:cstheme="minorEastAsia"/>
          <w:b w:val="0"/>
          <w:bCs/>
          <w:color w:val="auto"/>
          <w:sz w:val="24"/>
          <w:szCs w:val="24"/>
        </w:rPr>
      </w:pPr>
      <w:bookmarkStart w:id="437" w:name="_Toc2341921"/>
      <w:bookmarkStart w:id="438" w:name="_Toc10780"/>
      <w:bookmarkStart w:id="439" w:name="_Toc3019"/>
      <w:bookmarkStart w:id="440" w:name="_Toc334797776"/>
      <w:bookmarkStart w:id="441" w:name="_Toc2341352"/>
      <w:bookmarkStart w:id="442" w:name="_Toc533236402"/>
      <w:bookmarkStart w:id="443" w:name="_Toc2341672"/>
      <w:bookmarkStart w:id="444" w:name="_Toc32346"/>
      <w:bookmarkStart w:id="445" w:name="_Toc2341759"/>
      <w:bookmarkStart w:id="446" w:name="_Toc32130_WPSOffice_Level1"/>
      <w:bookmarkStart w:id="447" w:name="_Toc27964"/>
      <w:bookmarkStart w:id="448" w:name="_Toc245819142"/>
      <w:bookmarkStart w:id="449" w:name="_Toc225565960"/>
      <w:bookmarkStart w:id="450" w:name="_Toc42951056"/>
      <w:bookmarkStart w:id="451" w:name="_Toc223939114"/>
      <w:bookmarkStart w:id="452" w:name="_Toc228899514"/>
      <w:bookmarkStart w:id="453" w:name="_Toc238282344"/>
      <w:bookmarkStart w:id="454" w:name="_Toc228644985"/>
      <w:bookmarkStart w:id="455" w:name="_Toc224435734"/>
      <w:r>
        <w:rPr>
          <w:rFonts w:hint="eastAsia" w:asciiTheme="minorEastAsia" w:hAnsiTheme="minorEastAsia" w:eastAsiaTheme="minorEastAsia" w:cstheme="minorEastAsia"/>
          <w:b w:val="0"/>
          <w:bCs/>
          <w:color w:val="auto"/>
          <w:sz w:val="24"/>
          <w:szCs w:val="24"/>
        </w:rPr>
        <w:t>格式</w:t>
      </w:r>
      <w:bookmarkStart w:id="456" w:name="_Toc52165084"/>
      <w:bookmarkStart w:id="457" w:name="_Toc50737300"/>
      <w:bookmarkStart w:id="458" w:name="_Toc50691042"/>
      <w:bookmarkStart w:id="459" w:name="_Toc309974227"/>
      <w:bookmarkStart w:id="460" w:name="_Toc186126019"/>
      <w:bookmarkStart w:id="461" w:name="_Toc50737332"/>
      <w:bookmarkStart w:id="462" w:name="_Toc50736480"/>
      <w:r>
        <w:rPr>
          <w:rFonts w:hint="eastAsia" w:asciiTheme="minorEastAsia" w:hAnsiTheme="minorEastAsia" w:eastAsiaTheme="minorEastAsia" w:cstheme="minorEastAsia"/>
          <w:b w:val="0"/>
          <w:bCs/>
          <w:color w:val="auto"/>
          <w:sz w:val="24"/>
          <w:szCs w:val="24"/>
          <w:lang w:val="en-US" w:eastAsia="zh-CN"/>
        </w:rPr>
        <w:t>9</w:t>
      </w:r>
      <w:r>
        <w:rPr>
          <w:rFonts w:hint="eastAsia" w:asciiTheme="minorEastAsia" w:hAnsiTheme="minorEastAsia" w:eastAsiaTheme="minorEastAsia" w:cstheme="minorEastAsia"/>
          <w:b w:val="0"/>
          <w:bCs/>
          <w:color w:val="auto"/>
          <w:sz w:val="24"/>
          <w:szCs w:val="24"/>
        </w:rPr>
        <w:t>：拟派本项目负责人及主要人员情况表</w:t>
      </w:r>
      <w:bookmarkEnd w:id="437"/>
      <w:bookmarkEnd w:id="438"/>
      <w:bookmarkEnd w:id="439"/>
      <w:bookmarkEnd w:id="440"/>
      <w:bookmarkEnd w:id="441"/>
      <w:bookmarkEnd w:id="442"/>
      <w:bookmarkEnd w:id="443"/>
      <w:bookmarkEnd w:id="444"/>
      <w:bookmarkEnd w:id="445"/>
      <w:bookmarkEnd w:id="446"/>
      <w:bookmarkEnd w:id="447"/>
      <w:bookmarkEnd w:id="456"/>
      <w:bookmarkEnd w:id="457"/>
      <w:bookmarkEnd w:id="458"/>
      <w:bookmarkEnd w:id="459"/>
      <w:bookmarkEnd w:id="460"/>
      <w:bookmarkEnd w:id="461"/>
      <w:bookmarkEnd w:id="462"/>
    </w:p>
    <w:p>
      <w:pPr>
        <w:snapToGrid w:val="0"/>
        <w:spacing w:before="240"/>
        <w:jc w:val="center"/>
        <w:outlineLvl w:val="9"/>
        <w:rPr>
          <w:rFonts w:hint="eastAsia" w:ascii="黑体" w:hAnsi="黑体" w:eastAsia="黑体" w:cs="黑体"/>
          <w:b w:val="0"/>
          <w:bCs/>
          <w:color w:val="auto"/>
          <w:sz w:val="32"/>
          <w:szCs w:val="32"/>
        </w:rPr>
      </w:pPr>
      <w:bookmarkStart w:id="463" w:name="_Toc9941"/>
      <w:bookmarkStart w:id="464" w:name="_Toc23720"/>
      <w:bookmarkStart w:id="465" w:name="_Toc6062"/>
      <w:r>
        <w:rPr>
          <w:rFonts w:hint="eastAsia" w:ascii="黑体" w:hAnsi="黑体" w:eastAsia="黑体" w:cs="黑体"/>
          <w:b w:val="0"/>
          <w:bCs/>
          <w:color w:val="auto"/>
          <w:sz w:val="32"/>
          <w:szCs w:val="32"/>
        </w:rPr>
        <w:t>拟派本项目负责人及主要人员情况表</w:t>
      </w:r>
      <w:bookmarkEnd w:id="463"/>
      <w:bookmarkEnd w:id="464"/>
      <w:bookmarkEnd w:id="465"/>
    </w:p>
    <w:p>
      <w:pPr>
        <w:spacing w:line="360" w:lineRule="auto"/>
        <w:rPr>
          <w:rFonts w:hint="eastAsia" w:asciiTheme="minorEastAsia" w:hAnsiTheme="minorEastAsia" w:eastAsiaTheme="minorEastAsia" w:cstheme="minorEastAsia"/>
          <w:color w:val="auto"/>
          <w:sz w:val="21"/>
          <w:szCs w:val="21"/>
        </w:rPr>
      </w:pPr>
    </w:p>
    <w:p>
      <w:pPr>
        <w:spacing w:line="360" w:lineRule="auto"/>
        <w:rPr>
          <w:rFonts w:hint="eastAsia" w:asciiTheme="minorEastAsia" w:hAnsiTheme="minorEastAsia" w:eastAsiaTheme="minorEastAsia" w:cstheme="minorEastAsia"/>
          <w:color w:val="auto"/>
          <w:kern w:val="28"/>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kern w:val="28"/>
          <w:sz w:val="21"/>
          <w:szCs w:val="21"/>
        </w:rPr>
        <w:t>：</w:t>
      </w:r>
      <w:r>
        <w:rPr>
          <w:rFonts w:hint="eastAsia" w:asciiTheme="minorEastAsia" w:hAnsiTheme="minorEastAsia" w:eastAsiaTheme="minorEastAsia" w:cstheme="minorEastAsia"/>
          <w:color w:val="auto"/>
          <w:kern w:val="28"/>
          <w:sz w:val="21"/>
          <w:szCs w:val="21"/>
          <w:u w:val="single"/>
        </w:rPr>
        <w:t xml:space="preserve">                                                           </w:t>
      </w:r>
    </w:p>
    <w:p>
      <w:pPr>
        <w:spacing w:after="240"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bCs/>
          <w:color w:val="auto"/>
          <w:sz w:val="21"/>
          <w:szCs w:val="21"/>
          <w:u w:val="single"/>
        </w:rPr>
        <w:t xml:space="preserve">                        </w:t>
      </w:r>
      <w:r>
        <w:rPr>
          <w:rFonts w:hint="eastAsia" w:asciiTheme="minorEastAsia" w:hAnsiTheme="minorEastAsia" w:eastAsiaTheme="minorEastAsia" w:cstheme="minorEastAsia"/>
          <w:bCs/>
          <w:color w:val="auto"/>
          <w:sz w:val="21"/>
          <w:szCs w:val="21"/>
        </w:rPr>
        <w:t xml:space="preserve"> 志愿号：</w:t>
      </w:r>
      <w:r>
        <w:rPr>
          <w:rFonts w:hint="eastAsia" w:asciiTheme="minorEastAsia" w:hAnsiTheme="minorEastAsia" w:eastAsiaTheme="minorEastAsia" w:cstheme="minorEastAsia"/>
          <w:bCs/>
          <w:color w:val="auto"/>
          <w:sz w:val="21"/>
          <w:szCs w:val="21"/>
          <w:u w:val="single"/>
        </w:rPr>
        <w:t xml:space="preserve">                         </w:t>
      </w:r>
    </w:p>
    <w:tbl>
      <w:tblPr>
        <w:tblStyle w:val="13"/>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60"/>
        <w:gridCol w:w="675"/>
        <w:gridCol w:w="720"/>
        <w:gridCol w:w="720"/>
        <w:gridCol w:w="1200"/>
        <w:gridCol w:w="1301"/>
        <w:gridCol w:w="1170"/>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63" w:type="dxa"/>
            <w:tcBorders>
              <w:top w:val="single" w:color="auto" w:sz="12" w:space="0"/>
              <w:lef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960" w:type="dxa"/>
            <w:tcBorders>
              <w:top w:val="single" w:color="auto" w:sz="12" w:space="0"/>
            </w:tcBorders>
            <w:shd w:val="clear" w:color="auto" w:fill="D0CECE" w:themeFill="background2" w:themeFillShade="E6"/>
            <w:vAlign w:val="center"/>
          </w:tcPr>
          <w:p>
            <w:pPr>
              <w:pStyle w:val="15"/>
              <w:keepNext w:val="0"/>
              <w:adjustRightInd/>
              <w:snapToGrid w:val="0"/>
              <w:spacing w:before="0" w:after="0" w:line="240" w:lineRule="auto"/>
              <w:textAlignment w:val="auto"/>
              <w:rPr>
                <w:rFonts w:hint="eastAsia" w:asciiTheme="minorEastAsia" w:hAnsiTheme="minorEastAsia" w:eastAsiaTheme="minorEastAsia" w:cstheme="minorEastAsia"/>
                <w:b/>
                <w:color w:val="auto"/>
                <w:spacing w:val="0"/>
                <w:kern w:val="2"/>
                <w:sz w:val="21"/>
                <w:szCs w:val="21"/>
              </w:rPr>
            </w:pPr>
            <w:r>
              <w:rPr>
                <w:rFonts w:hint="eastAsia" w:asciiTheme="minorEastAsia" w:hAnsiTheme="minorEastAsia" w:eastAsiaTheme="minorEastAsia" w:cstheme="minorEastAsia"/>
                <w:b/>
                <w:color w:val="auto"/>
                <w:spacing w:val="0"/>
                <w:kern w:val="2"/>
                <w:sz w:val="21"/>
                <w:szCs w:val="21"/>
              </w:rPr>
              <w:t>姓名</w:t>
            </w:r>
          </w:p>
        </w:tc>
        <w:tc>
          <w:tcPr>
            <w:tcW w:w="675"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性别</w:t>
            </w:r>
          </w:p>
        </w:tc>
        <w:tc>
          <w:tcPr>
            <w:tcW w:w="720"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年龄</w:t>
            </w:r>
          </w:p>
        </w:tc>
        <w:tc>
          <w:tcPr>
            <w:tcW w:w="720"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学历</w:t>
            </w:r>
          </w:p>
        </w:tc>
        <w:tc>
          <w:tcPr>
            <w:tcW w:w="1200"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职称</w:t>
            </w:r>
          </w:p>
        </w:tc>
        <w:tc>
          <w:tcPr>
            <w:tcW w:w="1301"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专业</w:t>
            </w:r>
          </w:p>
        </w:tc>
        <w:tc>
          <w:tcPr>
            <w:tcW w:w="1170" w:type="dxa"/>
            <w:tcBorders>
              <w:top w:val="single" w:color="auto" w:sz="12" w:space="0"/>
              <w:righ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经验年限</w:t>
            </w:r>
          </w:p>
        </w:tc>
        <w:tc>
          <w:tcPr>
            <w:tcW w:w="1549" w:type="dxa"/>
            <w:tcBorders>
              <w:top w:val="single" w:color="auto" w:sz="12" w:space="0"/>
              <w:righ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拟担任职务或承担工作内容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63" w:type="dxa"/>
            <w:tcBorders>
              <w:left w:val="single" w:color="auto" w:sz="12" w:space="0"/>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960"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675"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720"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720"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200"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301"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170" w:type="dxa"/>
            <w:tcBorders>
              <w:bottom w:val="single" w:color="auto" w:sz="12" w:space="0"/>
              <w:righ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549" w:type="dxa"/>
            <w:tcBorders>
              <w:bottom w:val="single" w:color="auto" w:sz="12" w:space="0"/>
              <w:righ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r>
    </w:tbl>
    <w:p>
      <w:pPr>
        <w:spacing w:before="240" w:line="300" w:lineRule="auto"/>
        <w:ind w:left="482" w:hanging="422" w:hanging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rPr>
        <w:t>注：</w:t>
      </w:r>
      <w:r>
        <w:rPr>
          <w:rFonts w:hint="eastAsia" w:asciiTheme="minorEastAsia" w:hAnsiTheme="minorEastAsia" w:eastAsiaTheme="minorEastAsia" w:cstheme="minorEastAsia"/>
          <w:bCs/>
          <w:color w:val="auto"/>
          <w:sz w:val="21"/>
          <w:szCs w:val="21"/>
        </w:rPr>
        <w:t>可自行增加上表行数。</w:t>
      </w:r>
      <w:r>
        <w:rPr>
          <w:rFonts w:hint="eastAsia" w:asciiTheme="minorEastAsia" w:hAnsiTheme="minorEastAsia" w:eastAsiaTheme="minorEastAsia" w:cstheme="minorEastAsia"/>
          <w:bCs/>
          <w:color w:val="auto"/>
          <w:sz w:val="21"/>
          <w:szCs w:val="21"/>
          <w:highlight w:val="none"/>
        </w:rPr>
        <w:t>响应人如有的，应附上有关个人学历等证明文件（复印件）。</w:t>
      </w:r>
    </w:p>
    <w:p>
      <w:pPr>
        <w:spacing w:line="600" w:lineRule="auto"/>
        <w:rPr>
          <w:rFonts w:hint="eastAsia" w:asciiTheme="minorEastAsia" w:hAnsiTheme="minorEastAsia" w:eastAsiaTheme="minorEastAsia" w:cstheme="minorEastAsia"/>
          <w:color w:val="auto"/>
          <w:sz w:val="21"/>
          <w:szCs w:val="21"/>
        </w:rPr>
      </w:pPr>
    </w:p>
    <w:p>
      <w:pPr>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（加盖公章）</w:t>
      </w:r>
    </w:p>
    <w:p>
      <w:pPr>
        <w:tabs>
          <w:tab w:val="left" w:pos="4500"/>
        </w:tabs>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法定代表人或其响应人授权代表(签字)：                                 </w:t>
      </w:r>
    </w:p>
    <w:p>
      <w:pPr>
        <w:tabs>
          <w:tab w:val="left" w:pos="4500"/>
        </w:tabs>
        <w:spacing w:line="60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年    月    日</w:t>
      </w:r>
    </w:p>
    <w:p>
      <w:pPr>
        <w:spacing w:line="300" w:lineRule="auto"/>
        <w:rPr>
          <w:rFonts w:hint="eastAsia" w:asciiTheme="minorEastAsia" w:hAnsiTheme="minorEastAsia" w:eastAsiaTheme="minorEastAsia" w:cstheme="minorEastAsia"/>
          <w:bCs/>
          <w:color w:val="auto"/>
          <w:sz w:val="21"/>
          <w:szCs w:val="21"/>
        </w:rPr>
      </w:pPr>
    </w:p>
    <w:p>
      <w:pPr>
        <w:spacing w:line="300" w:lineRule="auto"/>
        <w:rPr>
          <w:rFonts w:hint="eastAsia" w:asciiTheme="minorEastAsia" w:hAnsiTheme="minorEastAsia" w:eastAsiaTheme="minorEastAsia" w:cstheme="minorEastAsia"/>
          <w:bCs/>
          <w:color w:val="auto"/>
          <w:sz w:val="21"/>
          <w:szCs w:val="21"/>
        </w:rPr>
      </w:pPr>
    </w:p>
    <w:p>
      <w:pPr>
        <w:spacing w:line="300" w:lineRule="auto"/>
        <w:rPr>
          <w:rFonts w:hint="eastAsia" w:asciiTheme="minorEastAsia" w:hAnsiTheme="minorEastAsia" w:eastAsiaTheme="minorEastAsia" w:cstheme="minorEastAsia"/>
          <w:bCs/>
          <w:color w:val="auto"/>
          <w:sz w:val="21"/>
          <w:szCs w:val="21"/>
        </w:rPr>
      </w:pPr>
    </w:p>
    <w:p>
      <w:pPr>
        <w:spacing w:line="300" w:lineRule="auto"/>
        <w:rPr>
          <w:rFonts w:hint="eastAsia" w:asciiTheme="minorEastAsia" w:hAnsiTheme="minorEastAsia" w:eastAsiaTheme="minorEastAsia" w:cstheme="minorEastAsia"/>
          <w:bCs/>
          <w:color w:val="auto"/>
          <w:sz w:val="21"/>
          <w:szCs w:val="21"/>
        </w:rPr>
      </w:pPr>
    </w:p>
    <w:p>
      <w:pPr>
        <w:widowControl/>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br w:type="page"/>
      </w:r>
    </w:p>
    <w:bookmarkEnd w:id="448"/>
    <w:bookmarkEnd w:id="449"/>
    <w:bookmarkEnd w:id="450"/>
    <w:bookmarkEnd w:id="451"/>
    <w:bookmarkEnd w:id="452"/>
    <w:bookmarkEnd w:id="453"/>
    <w:bookmarkEnd w:id="454"/>
    <w:bookmarkEnd w:id="455"/>
    <w:p>
      <w:pPr>
        <w:widowControl/>
        <w:jc w:val="left"/>
        <w:outlineLvl w:val="1"/>
        <w:rPr>
          <w:rFonts w:hint="eastAsia" w:asciiTheme="minorEastAsia" w:hAnsiTheme="minorEastAsia" w:eastAsiaTheme="minorEastAsia" w:cstheme="minorEastAsia"/>
          <w:b w:val="0"/>
          <w:bCs/>
          <w:color w:val="auto"/>
          <w:sz w:val="24"/>
          <w:szCs w:val="24"/>
        </w:rPr>
      </w:pPr>
      <w:bookmarkStart w:id="466" w:name="_Toc2341923"/>
      <w:bookmarkStart w:id="467" w:name="_Toc2341674"/>
      <w:bookmarkStart w:id="468" w:name="_Toc533236404"/>
      <w:bookmarkStart w:id="469" w:name="_Toc2341354"/>
      <w:bookmarkStart w:id="470" w:name="_Toc13302"/>
      <w:bookmarkStart w:id="471" w:name="_Toc2341761"/>
      <w:bookmarkStart w:id="472" w:name="_Toc31634_WPSOffice_Level1"/>
      <w:bookmarkStart w:id="473" w:name="_Toc334797781"/>
      <w:r>
        <w:rPr>
          <w:rFonts w:hint="eastAsia" w:asciiTheme="minorEastAsia" w:hAnsiTheme="minorEastAsia" w:eastAsiaTheme="minorEastAsia" w:cstheme="minorEastAsia"/>
          <w:b w:val="0"/>
          <w:bCs/>
          <w:color w:val="auto"/>
          <w:sz w:val="24"/>
          <w:szCs w:val="24"/>
        </w:rPr>
        <w:t>格式10：与采购人需求差异表</w:t>
      </w:r>
      <w:bookmarkEnd w:id="466"/>
      <w:bookmarkEnd w:id="467"/>
      <w:bookmarkEnd w:id="468"/>
      <w:bookmarkEnd w:id="469"/>
      <w:bookmarkEnd w:id="470"/>
      <w:bookmarkEnd w:id="471"/>
      <w:bookmarkEnd w:id="472"/>
      <w:bookmarkEnd w:id="473"/>
    </w:p>
    <w:p>
      <w:pPr>
        <w:snapToGrid w:val="0"/>
        <w:spacing w:before="240"/>
        <w:jc w:val="center"/>
        <w:outlineLvl w:val="9"/>
        <w:rPr>
          <w:rFonts w:hint="eastAsia" w:ascii="黑体" w:hAnsi="黑体" w:eastAsia="黑体" w:cs="黑体"/>
          <w:b w:val="0"/>
          <w:bCs/>
          <w:color w:val="auto"/>
          <w:sz w:val="32"/>
          <w:szCs w:val="32"/>
          <w:highlight w:val="cyan"/>
        </w:rPr>
      </w:pPr>
      <w:bookmarkStart w:id="474" w:name="_Toc17262"/>
      <w:bookmarkStart w:id="475" w:name="_Toc6177"/>
      <w:bookmarkStart w:id="476" w:name="_Toc32093"/>
      <w:r>
        <w:rPr>
          <w:rFonts w:hint="eastAsia" w:ascii="黑体" w:hAnsi="黑体" w:eastAsia="黑体" w:cs="黑体"/>
          <w:b w:val="0"/>
          <w:bCs/>
          <w:color w:val="auto"/>
          <w:sz w:val="32"/>
          <w:szCs w:val="32"/>
        </w:rPr>
        <w:t>与采购人需求差异表</w:t>
      </w:r>
      <w:bookmarkEnd w:id="474"/>
      <w:bookmarkEnd w:id="475"/>
      <w:bookmarkEnd w:id="476"/>
    </w:p>
    <w:p>
      <w:pPr>
        <w:spacing w:line="360" w:lineRule="auto"/>
        <w:rPr>
          <w:rFonts w:hint="eastAsia" w:asciiTheme="minorEastAsia" w:hAnsiTheme="minorEastAsia" w:eastAsiaTheme="minorEastAsia" w:cstheme="minorEastAsia"/>
          <w:b/>
          <w:color w:val="auto"/>
          <w:sz w:val="21"/>
          <w:szCs w:val="21"/>
        </w:rPr>
      </w:pP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【说明】</w:t>
      </w:r>
      <w:r>
        <w:rPr>
          <w:rFonts w:hint="eastAsia" w:asciiTheme="minorEastAsia" w:hAnsiTheme="minorEastAsia" w:eastAsiaTheme="minorEastAsia" w:cstheme="minorEastAsia"/>
          <w:color w:val="auto"/>
          <w:sz w:val="21"/>
          <w:szCs w:val="21"/>
        </w:rPr>
        <w:t>响应人应根据其提供的货物和服务，逐条对照采购文件“采购人需求”的内容要求填写，有差异的均须在此表中列明两者的差异内容，以便查对和评审。响应人没有列出的内容或提交空表的，项目采购</w:t>
      </w: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小组可视为完全响应采购文件要求。</w:t>
      </w:r>
    </w:p>
    <w:p>
      <w:pPr>
        <w:spacing w:line="360" w:lineRule="auto"/>
        <w:rPr>
          <w:rFonts w:hint="eastAsia" w:asciiTheme="minorEastAsia" w:hAnsiTheme="minorEastAsia" w:eastAsiaTheme="minorEastAsia" w:cstheme="minorEastAsia"/>
          <w:color w:val="auto"/>
          <w:kern w:val="28"/>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kern w:val="28"/>
          <w:sz w:val="21"/>
          <w:szCs w:val="21"/>
        </w:rPr>
        <w:t>：</w:t>
      </w:r>
      <w:r>
        <w:rPr>
          <w:rFonts w:hint="eastAsia" w:asciiTheme="minorEastAsia" w:hAnsiTheme="minorEastAsia" w:eastAsiaTheme="minorEastAsia" w:cstheme="minorEastAsia"/>
          <w:color w:val="auto"/>
          <w:kern w:val="28"/>
          <w:sz w:val="21"/>
          <w:szCs w:val="21"/>
          <w:u w:val="single"/>
        </w:rPr>
        <w:t xml:space="preserve">                                                           </w:t>
      </w:r>
    </w:p>
    <w:p>
      <w:pPr>
        <w:spacing w:after="240"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bCs/>
          <w:color w:val="auto"/>
          <w:sz w:val="21"/>
          <w:szCs w:val="21"/>
          <w:u w:val="single"/>
        </w:rPr>
        <w:t xml:space="preserve">                        </w:t>
      </w:r>
      <w:r>
        <w:rPr>
          <w:rFonts w:hint="eastAsia" w:asciiTheme="minorEastAsia" w:hAnsiTheme="minorEastAsia" w:eastAsiaTheme="minorEastAsia" w:cstheme="minorEastAsia"/>
          <w:bCs/>
          <w:color w:val="auto"/>
          <w:sz w:val="21"/>
          <w:szCs w:val="21"/>
        </w:rPr>
        <w:t xml:space="preserve"> 志愿号：</w:t>
      </w:r>
      <w:r>
        <w:rPr>
          <w:rFonts w:hint="eastAsia" w:asciiTheme="minorEastAsia" w:hAnsiTheme="minorEastAsia" w:eastAsiaTheme="minorEastAsia" w:cstheme="minorEastAsia"/>
          <w:bCs/>
          <w:color w:val="auto"/>
          <w:sz w:val="21"/>
          <w:szCs w:val="21"/>
          <w:u w:val="single"/>
        </w:rPr>
        <w:t xml:space="preserve">                         </w:t>
      </w:r>
    </w:p>
    <w:tbl>
      <w:tblPr>
        <w:tblStyle w:val="13"/>
        <w:tblW w:w="9192" w:type="dxa"/>
        <w:tblInd w:w="0" w:type="dxa"/>
        <w:tblLayout w:type="fixed"/>
        <w:tblCellMar>
          <w:top w:w="0" w:type="dxa"/>
          <w:left w:w="30" w:type="dxa"/>
          <w:bottom w:w="0" w:type="dxa"/>
          <w:right w:w="30" w:type="dxa"/>
        </w:tblCellMar>
      </w:tblPr>
      <w:tblGrid>
        <w:gridCol w:w="1079"/>
        <w:gridCol w:w="801"/>
        <w:gridCol w:w="2698"/>
        <w:gridCol w:w="1338"/>
        <w:gridCol w:w="1643"/>
        <w:gridCol w:w="1633"/>
      </w:tblGrid>
      <w:tr>
        <w:tblPrEx>
          <w:tblLayout w:type="fixed"/>
          <w:tblCellMar>
            <w:top w:w="0" w:type="dxa"/>
            <w:left w:w="30" w:type="dxa"/>
            <w:bottom w:w="0" w:type="dxa"/>
            <w:right w:w="30" w:type="dxa"/>
          </w:tblCellMar>
        </w:tblPrEx>
        <w:trPr>
          <w:cantSplit/>
          <w:trHeight w:val="334" w:hRule="atLeast"/>
        </w:trPr>
        <w:tc>
          <w:tcPr>
            <w:tcW w:w="1079" w:type="dxa"/>
            <w:vMerge w:val="restart"/>
            <w:tcBorders>
              <w:top w:val="single" w:color="auto" w:sz="12" w:space="0"/>
              <w:left w:val="single" w:color="auto" w:sz="12" w:space="0"/>
              <w:right w:val="single" w:color="auto" w:sz="6"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3499" w:type="dxa"/>
            <w:gridSpan w:val="2"/>
            <w:tcBorders>
              <w:top w:val="single" w:color="auto" w:sz="12" w:space="0"/>
              <w:left w:val="single" w:color="auto" w:sz="6" w:space="0"/>
              <w:bottom w:val="single" w:color="auto" w:sz="6"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采购文件要求</w:t>
            </w:r>
          </w:p>
        </w:tc>
        <w:tc>
          <w:tcPr>
            <w:tcW w:w="4614" w:type="dxa"/>
            <w:gridSpan w:val="3"/>
            <w:tcBorders>
              <w:top w:val="single" w:color="auto" w:sz="12" w:space="0"/>
              <w:left w:val="single" w:color="auto" w:sz="6" w:space="0"/>
              <w:bottom w:val="single" w:color="auto" w:sz="6" w:space="0"/>
              <w:righ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响应文件内容</w:t>
            </w:r>
          </w:p>
        </w:tc>
      </w:tr>
      <w:tr>
        <w:tblPrEx>
          <w:tblLayout w:type="fixed"/>
          <w:tblCellMar>
            <w:top w:w="0" w:type="dxa"/>
            <w:left w:w="30" w:type="dxa"/>
            <w:bottom w:w="0" w:type="dxa"/>
            <w:right w:w="30" w:type="dxa"/>
          </w:tblCellMar>
        </w:tblPrEx>
        <w:trPr>
          <w:cantSplit/>
          <w:trHeight w:val="357" w:hRule="atLeast"/>
        </w:trPr>
        <w:tc>
          <w:tcPr>
            <w:tcW w:w="1079" w:type="dxa"/>
            <w:vMerge w:val="continue"/>
            <w:tcBorders>
              <w:left w:val="single" w:color="auto" w:sz="12" w:space="0"/>
              <w:bottom w:val="single" w:color="auto" w:sz="6" w:space="0"/>
              <w:right w:val="single" w:color="auto" w:sz="6"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p>
        </w:tc>
        <w:tc>
          <w:tcPr>
            <w:tcW w:w="801" w:type="dxa"/>
            <w:tcBorders>
              <w:top w:val="single" w:color="auto" w:sz="6" w:space="0"/>
              <w:left w:val="single" w:color="auto" w:sz="6" w:space="0"/>
              <w:bottom w:val="single" w:color="auto" w:sz="6" w:space="0"/>
              <w:right w:val="single" w:color="auto" w:sz="6"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原条目</w:t>
            </w:r>
          </w:p>
        </w:tc>
        <w:tc>
          <w:tcPr>
            <w:tcW w:w="2698" w:type="dxa"/>
            <w:tcBorders>
              <w:top w:val="single" w:color="auto" w:sz="6" w:space="0"/>
              <w:left w:val="single" w:color="auto" w:sz="6" w:space="0"/>
              <w:bottom w:val="single" w:color="auto" w:sz="6" w:space="0"/>
              <w:right w:val="single" w:color="auto" w:sz="6"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条款</w:t>
            </w:r>
            <w:r>
              <w:rPr>
                <w:rFonts w:hint="eastAsia" w:asciiTheme="minorEastAsia" w:hAnsiTheme="minorEastAsia" w:eastAsiaTheme="minorEastAsia" w:cstheme="minorEastAsia"/>
                <w:b/>
                <w:color w:val="auto"/>
                <w:sz w:val="21"/>
                <w:szCs w:val="21"/>
              </w:rPr>
              <w:t>内容</w:t>
            </w:r>
          </w:p>
        </w:tc>
        <w:tc>
          <w:tcPr>
            <w:tcW w:w="1338" w:type="dxa"/>
            <w:tcBorders>
              <w:top w:val="single" w:color="auto" w:sz="6" w:space="0"/>
              <w:left w:val="single" w:color="auto" w:sz="6" w:space="0"/>
              <w:bottom w:val="single" w:color="auto" w:sz="6" w:space="0"/>
              <w:right w:val="single" w:color="auto" w:sz="6"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是否响应</w:t>
            </w:r>
          </w:p>
        </w:tc>
        <w:tc>
          <w:tcPr>
            <w:tcW w:w="1643" w:type="dxa"/>
            <w:tcBorders>
              <w:top w:val="single" w:color="auto" w:sz="6" w:space="0"/>
              <w:left w:val="single" w:color="auto" w:sz="6" w:space="0"/>
              <w:bottom w:val="single" w:color="auto" w:sz="6" w:space="0"/>
              <w:righ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偏离说明</w:t>
            </w:r>
          </w:p>
        </w:tc>
        <w:tc>
          <w:tcPr>
            <w:tcW w:w="1633" w:type="dxa"/>
            <w:tcBorders>
              <w:top w:val="single" w:color="auto" w:sz="6" w:space="0"/>
              <w:left w:val="single" w:color="auto" w:sz="6" w:space="0"/>
              <w:bottom w:val="single" w:color="auto" w:sz="6" w:space="0"/>
              <w:righ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查阅/证明文件指引</w:t>
            </w:r>
          </w:p>
        </w:tc>
      </w:tr>
      <w:tr>
        <w:tblPrEx>
          <w:tblLayout w:type="fixed"/>
          <w:tblCellMar>
            <w:top w:w="0" w:type="dxa"/>
            <w:left w:w="30" w:type="dxa"/>
            <w:bottom w:w="0" w:type="dxa"/>
            <w:right w:w="30" w:type="dxa"/>
          </w:tblCellMar>
        </w:tblPrEx>
        <w:trPr>
          <w:cantSplit/>
          <w:trHeight w:val="635" w:hRule="exact"/>
        </w:trPr>
        <w:tc>
          <w:tcPr>
            <w:tcW w:w="107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8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w:t>
            </w:r>
          </w:p>
        </w:tc>
        <w:tc>
          <w:tcPr>
            <w:tcW w:w="26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Theme="minorEastAsia" w:hAnsiTheme="minorEastAsia" w:eastAsiaTheme="minorEastAsia" w:cstheme="minorEastAsia"/>
                <w:color w:val="auto"/>
                <w:sz w:val="21"/>
                <w:szCs w:val="21"/>
              </w:rPr>
            </w:pPr>
          </w:p>
        </w:tc>
        <w:tc>
          <w:tcPr>
            <w:tcW w:w="13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int="eastAsia" w:asciiTheme="minorEastAsia" w:hAnsiTheme="minorEastAsia" w:eastAsiaTheme="minorEastAsia" w:cstheme="minorEastAsia"/>
                <w:color w:val="auto"/>
                <w:sz w:val="21"/>
                <w:szCs w:val="21"/>
              </w:rPr>
            </w:pPr>
          </w:p>
        </w:tc>
        <w:tc>
          <w:tcPr>
            <w:tcW w:w="164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asciiTheme="minorEastAsia" w:hAnsiTheme="minorEastAsia" w:eastAsiaTheme="minorEastAsia" w:cstheme="minorEastAsia"/>
                <w:color w:val="auto"/>
                <w:sz w:val="21"/>
                <w:szCs w:val="21"/>
              </w:rPr>
            </w:pPr>
          </w:p>
        </w:tc>
        <w:tc>
          <w:tcPr>
            <w:tcW w:w="1633"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rPr>
              <w:t>见</w:t>
            </w:r>
            <w:r>
              <w:rPr>
                <w:rFonts w:hint="eastAsia" w:ascii="宋体" w:hAnsi="宋体"/>
                <w:color w:val="auto"/>
                <w:sz w:val="21"/>
                <w:szCs w:val="21"/>
              </w:rPr>
              <w:t>《</w:t>
            </w:r>
            <w:r>
              <w:rPr>
                <w:rFonts w:hint="eastAsia" w:ascii="宋体" w:hAnsi="宋体"/>
                <w:color w:val="auto"/>
                <w:sz w:val="21"/>
                <w:szCs w:val="21"/>
                <w:lang w:eastAsia="zh-CN"/>
              </w:rPr>
              <w:t>响应</w:t>
            </w:r>
            <w:r>
              <w:rPr>
                <w:rFonts w:hint="eastAsia" w:ascii="宋体" w:hAnsi="宋体"/>
                <w:color w:val="auto"/>
                <w:sz w:val="21"/>
                <w:szCs w:val="21"/>
              </w:rPr>
              <w:t>文件》</w:t>
            </w:r>
            <w:r>
              <w:rPr>
                <w:rFonts w:hint="eastAsia" w:ascii="宋体" w:hAnsi="宋体" w:cs="宋体"/>
                <w:color w:val="auto"/>
                <w:sz w:val="21"/>
                <w:szCs w:val="21"/>
              </w:rPr>
              <w:t>第 页</w:t>
            </w:r>
          </w:p>
        </w:tc>
      </w:tr>
      <w:tr>
        <w:tblPrEx>
          <w:tblLayout w:type="fixed"/>
          <w:tblCellMar>
            <w:top w:w="0" w:type="dxa"/>
            <w:left w:w="30" w:type="dxa"/>
            <w:bottom w:w="0" w:type="dxa"/>
            <w:right w:w="30" w:type="dxa"/>
          </w:tblCellMar>
        </w:tblPrEx>
        <w:trPr>
          <w:cantSplit/>
          <w:trHeight w:val="515" w:hRule="exact"/>
        </w:trPr>
        <w:tc>
          <w:tcPr>
            <w:tcW w:w="107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801"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2698"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hint="eastAsia" w:asciiTheme="minorEastAsia" w:hAnsiTheme="minorEastAsia" w:eastAsiaTheme="minorEastAsia" w:cstheme="minorEastAsia"/>
                <w:color w:val="auto"/>
                <w:sz w:val="21"/>
                <w:szCs w:val="21"/>
              </w:rPr>
            </w:pPr>
          </w:p>
        </w:tc>
        <w:tc>
          <w:tcPr>
            <w:tcW w:w="1338"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rPr>
                <w:rFonts w:hint="eastAsia" w:asciiTheme="minorEastAsia" w:hAnsiTheme="minorEastAsia" w:eastAsiaTheme="minorEastAsia" w:cstheme="minorEastAsia"/>
                <w:color w:val="auto"/>
                <w:sz w:val="21"/>
                <w:szCs w:val="21"/>
              </w:rPr>
            </w:pPr>
          </w:p>
        </w:tc>
        <w:tc>
          <w:tcPr>
            <w:tcW w:w="1643"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hint="eastAsia" w:asciiTheme="minorEastAsia" w:hAnsiTheme="minorEastAsia" w:eastAsiaTheme="minorEastAsia" w:cstheme="minorEastAsia"/>
                <w:color w:val="auto"/>
                <w:sz w:val="21"/>
                <w:szCs w:val="21"/>
              </w:rPr>
            </w:pPr>
          </w:p>
        </w:tc>
        <w:tc>
          <w:tcPr>
            <w:tcW w:w="1633"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hint="eastAsia" w:asciiTheme="minorEastAsia" w:hAnsiTheme="minorEastAsia" w:eastAsiaTheme="minorEastAsia" w:cstheme="minorEastAsia"/>
                <w:color w:val="auto"/>
                <w:sz w:val="21"/>
                <w:szCs w:val="21"/>
              </w:rPr>
            </w:pPr>
          </w:p>
        </w:tc>
      </w:tr>
      <w:bookmarkEnd w:id="334"/>
    </w:tbl>
    <w:p>
      <w:pPr>
        <w:spacing w:before="240" w:line="600" w:lineRule="auto"/>
        <w:rPr>
          <w:rFonts w:hint="eastAsia" w:asciiTheme="minorEastAsia" w:hAnsiTheme="minorEastAsia" w:eastAsiaTheme="minorEastAsia" w:cstheme="minorEastAsia"/>
          <w:color w:val="auto"/>
          <w:sz w:val="21"/>
          <w:szCs w:val="21"/>
        </w:rPr>
      </w:pPr>
    </w:p>
    <w:p>
      <w:pPr>
        <w:spacing w:before="240"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（加盖公章）</w:t>
      </w:r>
    </w:p>
    <w:p>
      <w:pPr>
        <w:tabs>
          <w:tab w:val="left" w:pos="4500"/>
        </w:tabs>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法定代表人或其响应人授权代表(签字)：                                 </w:t>
      </w:r>
    </w:p>
    <w:p>
      <w:pPr>
        <w:tabs>
          <w:tab w:val="left" w:pos="4500"/>
        </w:tabs>
        <w:spacing w:line="600" w:lineRule="auto"/>
        <w:jc w:val="right"/>
        <w:rPr>
          <w:rFonts w:ascii="仿宋_GB2312" w:hAnsi="宋体" w:eastAsia="仿宋_GB2312"/>
          <w:color w:val="auto"/>
          <w:sz w:val="28"/>
          <w:szCs w:val="28"/>
        </w:rPr>
      </w:pPr>
      <w:r>
        <w:rPr>
          <w:rFonts w:hint="eastAsia" w:ascii="仿宋_GB2312" w:hAnsi="宋体" w:eastAsia="仿宋_GB2312"/>
          <w:color w:val="auto"/>
          <w:sz w:val="28"/>
          <w:szCs w:val="28"/>
        </w:rPr>
        <w:t xml:space="preserve">     </w:t>
      </w:r>
      <w:bookmarkStart w:id="477" w:name="_Toc2296_WPSOffice_Level1"/>
      <w:r>
        <w:rPr>
          <w:rFonts w:hint="eastAsia" w:ascii="仿宋_GB2312" w:hAnsi="宋体" w:eastAsia="仿宋_GB2312"/>
          <w:color w:val="auto"/>
          <w:sz w:val="28"/>
          <w:szCs w:val="28"/>
        </w:rPr>
        <w:t>年    月    日</w:t>
      </w:r>
      <w:bookmarkEnd w:id="477"/>
    </w:p>
    <w:p>
      <w:pPr>
        <w:spacing w:line="300" w:lineRule="auto"/>
        <w:rPr>
          <w:rFonts w:ascii="仿宋_GB2312" w:hAnsi="宋体" w:eastAsia="仿宋_GB2312"/>
          <w:bCs/>
          <w:color w:val="auto"/>
          <w:sz w:val="28"/>
          <w:szCs w:val="28"/>
        </w:rPr>
      </w:pPr>
    </w:p>
    <w:p>
      <w:pPr>
        <w:numPr>
          <w:ilvl w:val="0"/>
          <w:numId w:val="0"/>
        </w:numPr>
        <w:adjustRightInd w:val="0"/>
        <w:snapToGrid w:val="0"/>
        <w:spacing w:beforeLines="50" w:afterLines="50" w:line="360" w:lineRule="auto"/>
        <w:jc w:val="both"/>
        <w:outlineLvl w:val="0"/>
        <w:rPr>
          <w:rFonts w:hint="eastAsia" w:asciiTheme="minorEastAsia" w:hAnsiTheme="minorEastAsia" w:eastAsiaTheme="minorEastAsia" w:cstheme="minorEastAsia"/>
          <w:b/>
          <w:bCs/>
          <w:color w:val="auto"/>
          <w:sz w:val="28"/>
          <w:szCs w:val="28"/>
          <w:lang w:eastAsia="zh-CN"/>
        </w:rPr>
      </w:pPr>
    </w:p>
    <w:p>
      <w:pPr>
        <w:widowControl/>
        <w:numPr>
          <w:ilvl w:val="-1"/>
          <w:numId w:val="0"/>
        </w:numPr>
        <w:spacing w:line="360" w:lineRule="auto"/>
        <w:ind w:left="0" w:firstLine="0"/>
        <w:rPr>
          <w:rFonts w:hint="eastAsia" w:hAnsi="宋体"/>
          <w:b/>
          <w:color w:val="auto"/>
        </w:rPr>
      </w:pPr>
    </w:p>
    <w:p>
      <w:pPr>
        <w:numPr>
          <w:ilvl w:val="-1"/>
          <w:numId w:val="0"/>
        </w:numPr>
        <w:tabs>
          <w:tab w:val="left" w:pos="1260"/>
        </w:tabs>
        <w:autoSpaceDE w:val="0"/>
        <w:autoSpaceDN w:val="0"/>
        <w:adjustRightInd w:val="0"/>
        <w:snapToGrid w:val="0"/>
        <w:spacing w:line="360" w:lineRule="auto"/>
        <w:ind w:left="0" w:right="32" w:firstLine="0"/>
        <w:rPr>
          <w:rFonts w:hint="eastAsia" w:hAnsi="宋体"/>
          <w:color w:val="auto"/>
          <w:lang w:val="en-GB"/>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Chars="0" w:right="0" w:rightChars="0"/>
        <w:jc w:val="center"/>
        <w:textAlignment w:val="auto"/>
        <w:outlineLvl w:val="0"/>
        <w:rPr>
          <w:rFonts w:hint="eastAsia" w:asciiTheme="minorEastAsia" w:hAnsiTheme="minorEastAsia" w:eastAsiaTheme="minorEastAsia" w:cstheme="minorEastAsia"/>
          <w:b/>
          <w:bCs/>
          <w:color w:val="auto"/>
          <w:sz w:val="28"/>
          <w:szCs w:val="28"/>
        </w:rPr>
      </w:pPr>
      <w:bookmarkStart w:id="478" w:name="_Toc435115055"/>
      <w:bookmarkStart w:id="479" w:name="_Toc6026_WPSOffice_Level1"/>
      <w:bookmarkStart w:id="480" w:name="_Toc435514850"/>
      <w:bookmarkStart w:id="481" w:name="_Toc435109307"/>
      <w:bookmarkStart w:id="482" w:name="_Toc438222738"/>
      <w:bookmarkStart w:id="483" w:name="_Toc3841_WPSOffice_Level1"/>
      <w:bookmarkStart w:id="484" w:name="_Toc275865604"/>
      <w:r>
        <w:rPr>
          <w:rFonts w:hint="eastAsia" w:asciiTheme="minorEastAsia" w:hAnsiTheme="minorEastAsia" w:eastAsiaTheme="minorEastAsia" w:cstheme="minorEastAsia"/>
          <w:b/>
          <w:bCs/>
          <w:color w:val="auto"/>
          <w:sz w:val="28"/>
          <w:szCs w:val="28"/>
        </w:rPr>
        <w:br w:type="page"/>
      </w:r>
      <w:bookmarkStart w:id="485" w:name="_Toc1209_WPSOffice_Level1"/>
      <w:bookmarkStart w:id="486" w:name="_Toc1389"/>
      <w:bookmarkStart w:id="487" w:name="_Toc16394"/>
      <w:bookmarkStart w:id="488" w:name="_Toc81"/>
      <w:r>
        <w:rPr>
          <w:rFonts w:hint="eastAsia" w:asciiTheme="minorEastAsia" w:hAnsiTheme="minorEastAsia" w:eastAsiaTheme="minorEastAsia" w:cstheme="minorEastAsia"/>
          <w:b/>
          <w:bCs/>
          <w:color w:val="auto"/>
          <w:sz w:val="28"/>
          <w:szCs w:val="28"/>
          <w:lang w:val="en-US" w:eastAsia="zh-CN"/>
        </w:rPr>
        <w:t xml:space="preserve">第六章 </w:t>
      </w:r>
      <w:r>
        <w:rPr>
          <w:rFonts w:hint="eastAsia" w:asciiTheme="minorEastAsia" w:hAnsiTheme="minorEastAsia" w:eastAsiaTheme="minorEastAsia" w:cstheme="minorEastAsia"/>
          <w:b/>
          <w:bCs/>
          <w:color w:val="auto"/>
          <w:sz w:val="28"/>
          <w:szCs w:val="28"/>
        </w:rPr>
        <w:t>合同通用条款</w:t>
      </w:r>
      <w:bookmarkEnd w:id="478"/>
      <w:bookmarkEnd w:id="479"/>
      <w:bookmarkEnd w:id="480"/>
      <w:bookmarkEnd w:id="481"/>
      <w:bookmarkEnd w:id="482"/>
      <w:bookmarkEnd w:id="485"/>
      <w:bookmarkEnd w:id="486"/>
      <w:bookmarkEnd w:id="487"/>
      <w:bookmarkEnd w:id="488"/>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甲方：</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统一社会信用代码：</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法定代表人： </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  址：</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联系人： </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电子邮箱： </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乙方： </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统一社会信用代码：</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地  址：</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p>
    <w:p>
      <w:pPr>
        <w:spacing w:line="360" w:lineRule="auto"/>
        <w:ind w:left="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p>
      <w:pPr>
        <w:spacing w:line="360" w:lineRule="auto"/>
        <w:ind w:left="482"/>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电子邮箱：</w:t>
      </w:r>
    </w:p>
    <w:p>
      <w:pPr>
        <w:pStyle w:val="2"/>
        <w:spacing w:line="360" w:lineRule="auto"/>
      </w:pPr>
    </w:p>
    <w:p>
      <w:pPr>
        <w:pStyle w:val="23"/>
        <w:spacing w:line="360" w:lineRule="auto"/>
        <w:ind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根据</w:t>
      </w:r>
      <w:r>
        <w:rPr>
          <w:rFonts w:hint="eastAsia" w:ascii="宋体" w:hAnsi="宋体" w:eastAsia="宋体" w:cs="Times New Roman"/>
          <w:color w:val="auto"/>
          <w:kern w:val="2"/>
          <w:sz w:val="21"/>
          <w:szCs w:val="21"/>
          <w:u w:val="single"/>
          <w:lang w:val="en-US" w:eastAsia="zh-CN" w:bidi="ar-SA"/>
        </w:rPr>
        <w:t xml:space="preserve"> （项目名称）</w:t>
      </w:r>
      <w:r>
        <w:rPr>
          <w:rFonts w:hint="eastAsia" w:ascii="宋体" w:hAnsi="宋体" w:eastAsia="宋体" w:cs="Times New Roman"/>
          <w:color w:val="auto"/>
          <w:kern w:val="2"/>
          <w:sz w:val="21"/>
          <w:szCs w:val="21"/>
          <w:lang w:val="en-US" w:eastAsia="zh-CN" w:bidi="ar-SA"/>
        </w:rPr>
        <w:t xml:space="preserve"> 的采购结果，</w:t>
      </w: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w:t>
      </w:r>
      <w:r>
        <w:rPr>
          <w:rFonts w:hint="eastAsia" w:ascii="宋体" w:hAnsi="宋体"/>
          <w:kern w:val="28"/>
          <w:szCs w:val="21"/>
          <w:lang w:val="en-US" w:eastAsia="zh-CN"/>
        </w:rPr>
        <w:t>甲方</w:t>
      </w:r>
      <w:r>
        <w:rPr>
          <w:rFonts w:hint="eastAsia" w:ascii="宋体" w:hAnsi="宋体"/>
          <w:kern w:val="28"/>
          <w:szCs w:val="21"/>
        </w:rPr>
        <w:t>）与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val="en-US" w:eastAsia="zh-CN"/>
        </w:rPr>
        <w:t>乙方</w:t>
      </w:r>
      <w:r>
        <w:rPr>
          <w:rFonts w:hint="eastAsia" w:ascii="宋体" w:hAnsi="宋体"/>
          <w:kern w:val="28"/>
          <w:szCs w:val="21"/>
        </w:rPr>
        <w:t>）</w:t>
      </w:r>
      <w:r>
        <w:rPr>
          <w:rFonts w:hint="eastAsia" w:ascii="宋体" w:hAnsi="宋体" w:eastAsia="宋体" w:cs="Times New Roman"/>
          <w:color w:val="auto"/>
          <w:kern w:val="2"/>
          <w:sz w:val="21"/>
          <w:szCs w:val="21"/>
          <w:lang w:val="en-US" w:eastAsia="zh-CN" w:bidi="ar-SA"/>
        </w:rPr>
        <w:t>按照《中华人民共和国合同法》的规定，经双方协商，本着平等互利和诚实信用的原则，一致同意签订本合同如下：</w:t>
      </w:r>
    </w:p>
    <w:p>
      <w:pPr>
        <w:spacing w:before="180" w:line="360" w:lineRule="auto"/>
        <w:outlineLvl w:val="1"/>
        <w:rPr>
          <w:rFonts w:ascii="宋体" w:hAnsi="宋体"/>
          <w:b/>
          <w:color w:val="auto"/>
          <w:szCs w:val="21"/>
        </w:rPr>
      </w:pPr>
      <w:bookmarkStart w:id="489" w:name="_Toc11392"/>
      <w:r>
        <w:rPr>
          <w:rFonts w:hint="eastAsia" w:ascii="宋体" w:hAnsi="宋体"/>
          <w:b/>
          <w:color w:val="auto"/>
          <w:szCs w:val="21"/>
        </w:rPr>
        <w:t>一、</w:t>
      </w:r>
      <w:r>
        <w:rPr>
          <w:rFonts w:hint="eastAsia" w:ascii="宋体" w:hAnsi="宋体"/>
          <w:b/>
          <w:color w:val="auto"/>
          <w:szCs w:val="21"/>
          <w:lang w:val="en-US" w:eastAsia="zh-CN"/>
        </w:rPr>
        <w:t>项目内容</w:t>
      </w:r>
      <w:bookmarkEnd w:id="489"/>
    </w:p>
    <w:p>
      <w:pPr>
        <w:autoSpaceDE w:val="0"/>
        <w:autoSpaceDN w:val="0"/>
        <w:adjustRightInd w:val="0"/>
        <w:spacing w:line="360" w:lineRule="auto"/>
        <w:ind w:left="141"/>
        <w:rPr>
          <w:rFonts w:hint="eastAsia"/>
          <w:kern w:val="0"/>
          <w:sz w:val="21"/>
          <w:szCs w:val="21"/>
        </w:rPr>
      </w:pPr>
      <w:r>
        <w:rPr>
          <w:rFonts w:hint="eastAsia"/>
          <w:kern w:val="0"/>
          <w:sz w:val="21"/>
          <w:szCs w:val="21"/>
          <w:lang w:val="en-US" w:eastAsia="zh-CN"/>
        </w:rPr>
        <w:t xml:space="preserve">1.1 </w:t>
      </w:r>
      <w:r>
        <w:rPr>
          <w:rFonts w:hint="eastAsia"/>
          <w:kern w:val="0"/>
          <w:sz w:val="21"/>
          <w:szCs w:val="21"/>
        </w:rPr>
        <w:t>乙方</w:t>
      </w:r>
      <w:r>
        <w:rPr>
          <w:rFonts w:hint="eastAsia"/>
          <w:kern w:val="0"/>
          <w:sz w:val="21"/>
          <w:szCs w:val="21"/>
          <w:lang w:val="en-US" w:eastAsia="zh-CN"/>
        </w:rPr>
        <w:t>向</w:t>
      </w:r>
      <w:r>
        <w:rPr>
          <w:rFonts w:hint="eastAsia"/>
          <w:kern w:val="0"/>
          <w:sz w:val="21"/>
          <w:szCs w:val="21"/>
        </w:rPr>
        <w:t>甲方提供下列货物，项目合同总金额为￥</w:t>
      </w:r>
      <w:r>
        <w:rPr>
          <w:rFonts w:hint="eastAsia"/>
          <w:kern w:val="0"/>
          <w:sz w:val="21"/>
          <w:szCs w:val="21"/>
          <w:u w:val="single"/>
          <w:lang w:val="en-US" w:eastAsia="zh-CN"/>
        </w:rPr>
        <w:t xml:space="preserve">       </w:t>
      </w:r>
      <w:r>
        <w:rPr>
          <w:rFonts w:hint="eastAsia"/>
          <w:kern w:val="0"/>
          <w:sz w:val="21"/>
          <w:szCs w:val="21"/>
        </w:rPr>
        <w:t>元（大写：</w:t>
      </w:r>
      <w:r>
        <w:rPr>
          <w:rFonts w:hint="eastAsia"/>
          <w:kern w:val="0"/>
          <w:sz w:val="21"/>
          <w:szCs w:val="21"/>
          <w:u w:val="single"/>
          <w:lang w:val="en-US" w:eastAsia="zh-CN"/>
        </w:rPr>
        <w:t xml:space="preserve">       </w:t>
      </w:r>
      <w:r>
        <w:rPr>
          <w:rFonts w:hint="eastAsia"/>
          <w:kern w:val="0"/>
          <w:sz w:val="21"/>
          <w:szCs w:val="21"/>
        </w:rPr>
        <w:t>）人民币，合同金额已含税（含13%增值税专用发票</w:t>
      </w:r>
      <w:r>
        <w:rPr>
          <w:rFonts w:hint="eastAsia"/>
          <w:kern w:val="0"/>
          <w:sz w:val="21"/>
          <w:szCs w:val="21"/>
          <w:lang w:eastAsia="zh-CN"/>
        </w:rPr>
        <w:t>）：</w:t>
      </w:r>
    </w:p>
    <w:tbl>
      <w:tblPr>
        <w:tblStyle w:val="13"/>
        <w:tblW w:w="9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78"/>
        <w:gridCol w:w="1446"/>
        <w:gridCol w:w="1022"/>
        <w:gridCol w:w="894"/>
        <w:gridCol w:w="752"/>
        <w:gridCol w:w="1168"/>
        <w:gridCol w:w="1135"/>
        <w:gridCol w:w="1041"/>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438" w:hRule="atLeast"/>
          <w:jc w:val="center"/>
        </w:trPr>
        <w:tc>
          <w:tcPr>
            <w:tcW w:w="678" w:type="dxa"/>
            <w:vAlign w:val="center"/>
          </w:tcPr>
          <w:p>
            <w:pPr>
              <w:autoSpaceDE w:val="0"/>
              <w:autoSpaceDN w:val="0"/>
              <w:adjustRightInd w:val="0"/>
              <w:spacing w:line="360" w:lineRule="auto"/>
              <w:jc w:val="center"/>
              <w:rPr>
                <w:rFonts w:ascii="宋体" w:hAnsi="宋体"/>
                <w:b/>
                <w:color w:val="auto"/>
                <w:szCs w:val="21"/>
              </w:rPr>
            </w:pPr>
            <w:r>
              <w:rPr>
                <w:rFonts w:hint="eastAsia" w:ascii="宋体" w:hAnsi="宋体"/>
                <w:b/>
                <w:color w:val="auto"/>
                <w:szCs w:val="21"/>
              </w:rPr>
              <w:t>序号</w:t>
            </w:r>
          </w:p>
        </w:tc>
        <w:tc>
          <w:tcPr>
            <w:tcW w:w="1446" w:type="dxa"/>
            <w:vAlign w:val="center"/>
          </w:tcPr>
          <w:p>
            <w:pPr>
              <w:autoSpaceDE w:val="0"/>
              <w:autoSpaceDN w:val="0"/>
              <w:adjustRightInd w:val="0"/>
              <w:spacing w:line="360" w:lineRule="auto"/>
              <w:jc w:val="center"/>
              <w:rPr>
                <w:rFonts w:ascii="宋体" w:hAnsi="宋体"/>
                <w:b/>
                <w:color w:val="auto"/>
                <w:szCs w:val="21"/>
              </w:rPr>
            </w:pPr>
            <w:r>
              <w:rPr>
                <w:rFonts w:hint="eastAsia" w:ascii="宋体" w:hAnsi="宋体"/>
                <w:b/>
                <w:color w:val="auto"/>
                <w:szCs w:val="21"/>
              </w:rPr>
              <w:t>名称</w:t>
            </w:r>
          </w:p>
        </w:tc>
        <w:tc>
          <w:tcPr>
            <w:tcW w:w="1022" w:type="dxa"/>
            <w:vAlign w:val="center"/>
          </w:tcPr>
          <w:p>
            <w:pPr>
              <w:autoSpaceDE w:val="0"/>
              <w:autoSpaceDN w:val="0"/>
              <w:adjustRightInd w:val="0"/>
              <w:spacing w:line="360" w:lineRule="auto"/>
              <w:jc w:val="center"/>
              <w:rPr>
                <w:rFonts w:hint="eastAsia" w:ascii="宋体" w:hAnsi="宋体" w:eastAsia="宋体"/>
                <w:b/>
                <w:color w:val="auto"/>
                <w:szCs w:val="21"/>
                <w:lang w:val="en-US" w:eastAsia="zh-CN"/>
              </w:rPr>
            </w:pPr>
            <w:r>
              <w:rPr>
                <w:rFonts w:hint="eastAsia" w:ascii="宋体" w:hAnsi="宋体"/>
                <w:b/>
                <w:color w:val="auto"/>
                <w:szCs w:val="21"/>
                <w:lang w:val="en-US" w:eastAsia="zh-CN"/>
              </w:rPr>
              <w:t>品牌型号</w:t>
            </w:r>
          </w:p>
        </w:tc>
        <w:tc>
          <w:tcPr>
            <w:tcW w:w="894" w:type="dxa"/>
            <w:vAlign w:val="center"/>
          </w:tcPr>
          <w:p>
            <w:pPr>
              <w:autoSpaceDE w:val="0"/>
              <w:autoSpaceDN w:val="0"/>
              <w:adjustRightInd w:val="0"/>
              <w:spacing w:line="360" w:lineRule="auto"/>
              <w:jc w:val="center"/>
              <w:rPr>
                <w:rFonts w:hint="eastAsia" w:ascii="宋体" w:hAnsi="宋体" w:eastAsia="宋体"/>
                <w:b/>
                <w:color w:val="auto"/>
                <w:szCs w:val="21"/>
                <w:lang w:val="en-US" w:eastAsia="zh-CN"/>
              </w:rPr>
            </w:pPr>
            <w:r>
              <w:rPr>
                <w:rFonts w:hint="eastAsia" w:ascii="宋体" w:hAnsi="宋体"/>
                <w:b/>
                <w:color w:val="auto"/>
                <w:szCs w:val="21"/>
                <w:lang w:val="en-US" w:eastAsia="zh-CN"/>
              </w:rPr>
              <w:t>厂家</w:t>
            </w:r>
          </w:p>
        </w:tc>
        <w:tc>
          <w:tcPr>
            <w:tcW w:w="752" w:type="dxa"/>
            <w:vAlign w:val="center"/>
          </w:tcPr>
          <w:p>
            <w:pPr>
              <w:autoSpaceDE w:val="0"/>
              <w:autoSpaceDN w:val="0"/>
              <w:adjustRightInd w:val="0"/>
              <w:spacing w:line="360" w:lineRule="auto"/>
              <w:jc w:val="center"/>
              <w:rPr>
                <w:rFonts w:hint="eastAsia" w:ascii="宋体" w:hAnsi="宋体" w:eastAsia="宋体"/>
                <w:b/>
                <w:color w:val="auto"/>
                <w:szCs w:val="21"/>
                <w:lang w:eastAsia="zh-CN"/>
              </w:rPr>
            </w:pPr>
            <w:r>
              <w:rPr>
                <w:rFonts w:hint="eastAsia" w:ascii="宋体" w:hAnsi="宋体"/>
                <w:b/>
                <w:color w:val="auto"/>
                <w:szCs w:val="21"/>
              </w:rPr>
              <w:t>数量</w:t>
            </w:r>
          </w:p>
        </w:tc>
        <w:tc>
          <w:tcPr>
            <w:tcW w:w="1168" w:type="dxa"/>
            <w:textDirection w:val="lrTb"/>
            <w:vAlign w:val="center"/>
          </w:tcPr>
          <w:p>
            <w:pPr>
              <w:autoSpaceDE w:val="0"/>
              <w:autoSpaceDN w:val="0"/>
              <w:adjustRightIn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不含税单价（元）</w:t>
            </w:r>
          </w:p>
        </w:tc>
        <w:tc>
          <w:tcPr>
            <w:tcW w:w="1135" w:type="dxa"/>
            <w:textDirection w:val="lrTb"/>
            <w:vAlign w:val="center"/>
          </w:tcPr>
          <w:p>
            <w:pPr>
              <w:autoSpaceDE w:val="0"/>
              <w:autoSpaceDN w:val="0"/>
              <w:adjustRightIn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不含税总价（元）</w:t>
            </w:r>
          </w:p>
        </w:tc>
        <w:tc>
          <w:tcPr>
            <w:tcW w:w="1041" w:type="dxa"/>
            <w:textDirection w:val="lrTb"/>
            <w:vAlign w:val="center"/>
          </w:tcPr>
          <w:p>
            <w:pPr>
              <w:autoSpaceDE w:val="0"/>
              <w:autoSpaceDN w:val="0"/>
              <w:adjustRightIn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税率</w:t>
            </w:r>
          </w:p>
        </w:tc>
        <w:tc>
          <w:tcPr>
            <w:tcW w:w="1018" w:type="dxa"/>
            <w:textDirection w:val="lrTb"/>
            <w:vAlign w:val="center"/>
          </w:tcPr>
          <w:p>
            <w:pPr>
              <w:autoSpaceDE w:val="0"/>
              <w:autoSpaceDN w:val="0"/>
              <w:adjustRightIn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含税总价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72" w:hRule="atLeast"/>
          <w:jc w:val="center"/>
        </w:trPr>
        <w:tc>
          <w:tcPr>
            <w:tcW w:w="678" w:type="dxa"/>
            <w:vAlign w:val="center"/>
          </w:tcPr>
          <w:p>
            <w:pPr>
              <w:autoSpaceDE w:val="0"/>
              <w:autoSpaceDN w:val="0"/>
              <w:adjustRightInd w:val="0"/>
              <w:spacing w:line="360" w:lineRule="auto"/>
              <w:jc w:val="center"/>
              <w:rPr>
                <w:rFonts w:ascii="宋体" w:hAnsi="宋体"/>
                <w:color w:val="auto"/>
                <w:szCs w:val="21"/>
              </w:rPr>
            </w:pPr>
          </w:p>
        </w:tc>
        <w:tc>
          <w:tcPr>
            <w:tcW w:w="1446" w:type="dxa"/>
            <w:vAlign w:val="center"/>
          </w:tcPr>
          <w:p>
            <w:pPr>
              <w:autoSpaceDE w:val="0"/>
              <w:autoSpaceDN w:val="0"/>
              <w:adjustRightInd w:val="0"/>
              <w:spacing w:line="360" w:lineRule="auto"/>
              <w:jc w:val="center"/>
              <w:rPr>
                <w:rFonts w:ascii="宋体" w:hAnsi="宋体"/>
                <w:color w:val="auto"/>
                <w:szCs w:val="21"/>
              </w:rPr>
            </w:pPr>
          </w:p>
        </w:tc>
        <w:tc>
          <w:tcPr>
            <w:tcW w:w="1022" w:type="dxa"/>
            <w:vAlign w:val="center"/>
          </w:tcPr>
          <w:p>
            <w:pPr>
              <w:autoSpaceDE w:val="0"/>
              <w:autoSpaceDN w:val="0"/>
              <w:adjustRightInd w:val="0"/>
              <w:spacing w:line="360" w:lineRule="auto"/>
              <w:jc w:val="center"/>
              <w:rPr>
                <w:rFonts w:ascii="宋体" w:hAnsi="宋体"/>
                <w:color w:val="auto"/>
                <w:szCs w:val="21"/>
              </w:rPr>
            </w:pPr>
          </w:p>
        </w:tc>
        <w:tc>
          <w:tcPr>
            <w:tcW w:w="894" w:type="dxa"/>
            <w:vAlign w:val="center"/>
          </w:tcPr>
          <w:p>
            <w:pPr>
              <w:autoSpaceDE w:val="0"/>
              <w:autoSpaceDN w:val="0"/>
              <w:adjustRightInd w:val="0"/>
              <w:spacing w:line="360" w:lineRule="auto"/>
              <w:jc w:val="center"/>
              <w:rPr>
                <w:rFonts w:ascii="宋体" w:hAnsi="宋体"/>
                <w:color w:val="auto"/>
                <w:szCs w:val="21"/>
              </w:rPr>
            </w:pPr>
          </w:p>
        </w:tc>
        <w:tc>
          <w:tcPr>
            <w:tcW w:w="752" w:type="dxa"/>
            <w:vAlign w:val="center"/>
          </w:tcPr>
          <w:p>
            <w:pPr>
              <w:autoSpaceDE w:val="0"/>
              <w:autoSpaceDN w:val="0"/>
              <w:adjustRightInd w:val="0"/>
              <w:spacing w:line="360" w:lineRule="auto"/>
              <w:jc w:val="center"/>
              <w:rPr>
                <w:rFonts w:ascii="宋体" w:hAnsi="宋体"/>
                <w:color w:val="auto"/>
                <w:szCs w:val="21"/>
              </w:rPr>
            </w:pPr>
          </w:p>
        </w:tc>
        <w:tc>
          <w:tcPr>
            <w:tcW w:w="1168" w:type="dxa"/>
            <w:vAlign w:val="center"/>
          </w:tcPr>
          <w:p>
            <w:pPr>
              <w:autoSpaceDE w:val="0"/>
              <w:autoSpaceDN w:val="0"/>
              <w:adjustRightInd w:val="0"/>
              <w:spacing w:line="360" w:lineRule="auto"/>
              <w:jc w:val="center"/>
              <w:rPr>
                <w:rFonts w:ascii="宋体" w:hAnsi="宋体"/>
                <w:color w:val="auto"/>
                <w:szCs w:val="21"/>
              </w:rPr>
            </w:pPr>
          </w:p>
        </w:tc>
        <w:tc>
          <w:tcPr>
            <w:tcW w:w="1135" w:type="dxa"/>
            <w:vAlign w:val="center"/>
          </w:tcPr>
          <w:p>
            <w:pPr>
              <w:autoSpaceDE w:val="0"/>
              <w:autoSpaceDN w:val="0"/>
              <w:adjustRightInd w:val="0"/>
              <w:spacing w:line="360" w:lineRule="auto"/>
              <w:jc w:val="center"/>
              <w:rPr>
                <w:rFonts w:ascii="宋体" w:hAnsi="宋体"/>
                <w:color w:val="auto"/>
                <w:szCs w:val="21"/>
              </w:rPr>
            </w:pPr>
          </w:p>
        </w:tc>
        <w:tc>
          <w:tcPr>
            <w:tcW w:w="1041" w:type="dxa"/>
            <w:vAlign w:val="center"/>
          </w:tcPr>
          <w:p>
            <w:pPr>
              <w:autoSpaceDE w:val="0"/>
              <w:autoSpaceDN w:val="0"/>
              <w:adjustRightInd w:val="0"/>
              <w:spacing w:line="360" w:lineRule="auto"/>
              <w:jc w:val="center"/>
              <w:rPr>
                <w:rFonts w:ascii="宋体" w:hAnsi="宋体"/>
                <w:color w:val="auto"/>
                <w:szCs w:val="21"/>
              </w:rPr>
            </w:pPr>
          </w:p>
        </w:tc>
        <w:tc>
          <w:tcPr>
            <w:tcW w:w="1018" w:type="dxa"/>
            <w:vAlign w:val="center"/>
          </w:tcPr>
          <w:p>
            <w:pPr>
              <w:pStyle w:val="2"/>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14" w:hRule="atLeast"/>
          <w:jc w:val="center"/>
        </w:trPr>
        <w:tc>
          <w:tcPr>
            <w:tcW w:w="678" w:type="dxa"/>
            <w:vAlign w:val="center"/>
          </w:tcPr>
          <w:p>
            <w:pPr>
              <w:autoSpaceDE w:val="0"/>
              <w:autoSpaceDN w:val="0"/>
              <w:adjustRightInd w:val="0"/>
              <w:spacing w:line="360" w:lineRule="auto"/>
              <w:jc w:val="center"/>
              <w:rPr>
                <w:rFonts w:ascii="宋体" w:hAnsi="宋体"/>
                <w:color w:val="auto"/>
                <w:szCs w:val="21"/>
              </w:rPr>
            </w:pPr>
          </w:p>
        </w:tc>
        <w:tc>
          <w:tcPr>
            <w:tcW w:w="1446" w:type="dxa"/>
            <w:vAlign w:val="center"/>
          </w:tcPr>
          <w:p>
            <w:pPr>
              <w:autoSpaceDE w:val="0"/>
              <w:autoSpaceDN w:val="0"/>
              <w:adjustRightInd w:val="0"/>
              <w:spacing w:line="360" w:lineRule="auto"/>
              <w:jc w:val="center"/>
              <w:rPr>
                <w:rFonts w:ascii="宋体" w:hAnsi="宋体"/>
                <w:color w:val="auto"/>
                <w:szCs w:val="21"/>
              </w:rPr>
            </w:pPr>
          </w:p>
        </w:tc>
        <w:tc>
          <w:tcPr>
            <w:tcW w:w="1022" w:type="dxa"/>
            <w:vAlign w:val="center"/>
          </w:tcPr>
          <w:p>
            <w:pPr>
              <w:autoSpaceDE w:val="0"/>
              <w:autoSpaceDN w:val="0"/>
              <w:adjustRightInd w:val="0"/>
              <w:spacing w:line="360" w:lineRule="auto"/>
              <w:jc w:val="center"/>
              <w:rPr>
                <w:rFonts w:ascii="宋体" w:hAnsi="宋体"/>
                <w:color w:val="auto"/>
                <w:szCs w:val="21"/>
              </w:rPr>
            </w:pPr>
          </w:p>
        </w:tc>
        <w:tc>
          <w:tcPr>
            <w:tcW w:w="894" w:type="dxa"/>
            <w:vAlign w:val="center"/>
          </w:tcPr>
          <w:p>
            <w:pPr>
              <w:autoSpaceDE w:val="0"/>
              <w:autoSpaceDN w:val="0"/>
              <w:adjustRightInd w:val="0"/>
              <w:spacing w:line="360" w:lineRule="auto"/>
              <w:jc w:val="center"/>
              <w:rPr>
                <w:rFonts w:ascii="宋体" w:hAnsi="宋体"/>
                <w:color w:val="auto"/>
                <w:szCs w:val="21"/>
              </w:rPr>
            </w:pPr>
          </w:p>
        </w:tc>
        <w:tc>
          <w:tcPr>
            <w:tcW w:w="752" w:type="dxa"/>
            <w:vAlign w:val="center"/>
          </w:tcPr>
          <w:p>
            <w:pPr>
              <w:autoSpaceDE w:val="0"/>
              <w:autoSpaceDN w:val="0"/>
              <w:adjustRightInd w:val="0"/>
              <w:spacing w:line="360" w:lineRule="auto"/>
              <w:jc w:val="center"/>
              <w:rPr>
                <w:rFonts w:ascii="宋体" w:hAnsi="宋体"/>
                <w:color w:val="auto"/>
                <w:szCs w:val="21"/>
              </w:rPr>
            </w:pPr>
          </w:p>
        </w:tc>
        <w:tc>
          <w:tcPr>
            <w:tcW w:w="1168" w:type="dxa"/>
            <w:vAlign w:val="center"/>
          </w:tcPr>
          <w:p>
            <w:pPr>
              <w:autoSpaceDE w:val="0"/>
              <w:autoSpaceDN w:val="0"/>
              <w:adjustRightInd w:val="0"/>
              <w:spacing w:line="360" w:lineRule="auto"/>
              <w:jc w:val="center"/>
              <w:rPr>
                <w:rFonts w:ascii="宋体" w:hAnsi="宋体"/>
                <w:color w:val="auto"/>
                <w:szCs w:val="21"/>
              </w:rPr>
            </w:pPr>
          </w:p>
        </w:tc>
        <w:tc>
          <w:tcPr>
            <w:tcW w:w="1135" w:type="dxa"/>
            <w:vAlign w:val="center"/>
          </w:tcPr>
          <w:p>
            <w:pPr>
              <w:autoSpaceDE w:val="0"/>
              <w:autoSpaceDN w:val="0"/>
              <w:adjustRightInd w:val="0"/>
              <w:spacing w:line="360" w:lineRule="auto"/>
              <w:jc w:val="center"/>
              <w:rPr>
                <w:rFonts w:ascii="宋体" w:hAnsi="宋体"/>
                <w:color w:val="auto"/>
                <w:szCs w:val="21"/>
              </w:rPr>
            </w:pPr>
          </w:p>
        </w:tc>
        <w:tc>
          <w:tcPr>
            <w:tcW w:w="1041" w:type="dxa"/>
            <w:vAlign w:val="center"/>
          </w:tcPr>
          <w:p>
            <w:pPr>
              <w:autoSpaceDE w:val="0"/>
              <w:autoSpaceDN w:val="0"/>
              <w:adjustRightInd w:val="0"/>
              <w:spacing w:line="360" w:lineRule="auto"/>
              <w:jc w:val="center"/>
              <w:rPr>
                <w:rFonts w:ascii="宋体" w:hAnsi="宋体"/>
                <w:color w:val="auto"/>
                <w:szCs w:val="21"/>
              </w:rPr>
            </w:pPr>
          </w:p>
        </w:tc>
        <w:tc>
          <w:tcPr>
            <w:tcW w:w="1018" w:type="dxa"/>
            <w:vAlign w:val="center"/>
          </w:tcPr>
          <w:p>
            <w:pPr>
              <w:pStyle w:val="3"/>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atLeast"/>
          <w:jc w:val="center"/>
        </w:trPr>
        <w:tc>
          <w:tcPr>
            <w:tcW w:w="4040" w:type="dxa"/>
            <w:gridSpan w:val="4"/>
            <w:vMerge w:val="restart"/>
            <w:vAlign w:val="center"/>
          </w:tcPr>
          <w:p>
            <w:pPr>
              <w:autoSpaceDE w:val="0"/>
              <w:autoSpaceDN w:val="0"/>
              <w:adjustRightInd w:val="0"/>
              <w:spacing w:line="360" w:lineRule="auto"/>
              <w:jc w:val="center"/>
              <w:rPr>
                <w:rFonts w:ascii="宋体" w:hAnsi="宋体"/>
                <w:color w:val="auto"/>
                <w:sz w:val="21"/>
                <w:szCs w:val="21"/>
              </w:rPr>
            </w:pPr>
            <w:r>
              <w:rPr>
                <w:rFonts w:hint="eastAsia" w:ascii="宋体" w:hAnsi="宋体" w:eastAsia="宋体" w:cs="宋体"/>
                <w:b/>
                <w:i w:val="0"/>
                <w:color w:val="000000"/>
                <w:kern w:val="0"/>
                <w:sz w:val="21"/>
                <w:szCs w:val="21"/>
                <w:u w:val="none"/>
                <w:lang w:val="en-US" w:eastAsia="zh-CN" w:bidi="ar"/>
              </w:rPr>
              <w:t>合  计</w:t>
            </w:r>
          </w:p>
        </w:tc>
        <w:tc>
          <w:tcPr>
            <w:tcW w:w="752" w:type="dxa"/>
            <w:vMerge w:val="restart"/>
            <w:vAlign w:val="center"/>
          </w:tcPr>
          <w:p>
            <w:pPr>
              <w:autoSpaceDE w:val="0"/>
              <w:autoSpaceDN w:val="0"/>
              <w:adjustRightInd w:val="0"/>
              <w:spacing w:line="360" w:lineRule="auto"/>
              <w:jc w:val="center"/>
              <w:rPr>
                <w:rFonts w:ascii="宋体" w:hAnsi="宋体"/>
                <w:color w:val="auto"/>
                <w:sz w:val="21"/>
                <w:szCs w:val="21"/>
              </w:rPr>
            </w:pPr>
          </w:p>
        </w:tc>
        <w:tc>
          <w:tcPr>
            <w:tcW w:w="1168" w:type="dxa"/>
            <w:vMerge w:val="restart"/>
            <w:vAlign w:val="center"/>
          </w:tcPr>
          <w:p>
            <w:pPr>
              <w:autoSpaceDE w:val="0"/>
              <w:autoSpaceDN w:val="0"/>
              <w:adjustRightInd w:val="0"/>
              <w:spacing w:line="36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w:t>
            </w:r>
          </w:p>
        </w:tc>
        <w:tc>
          <w:tcPr>
            <w:tcW w:w="1135" w:type="dxa"/>
            <w:vMerge w:val="restart"/>
            <w:vAlign w:val="center"/>
          </w:tcPr>
          <w:p>
            <w:pPr>
              <w:autoSpaceDE w:val="0"/>
              <w:autoSpaceDN w:val="0"/>
              <w:adjustRightInd w:val="0"/>
              <w:spacing w:line="360" w:lineRule="auto"/>
              <w:jc w:val="center"/>
              <w:rPr>
                <w:rFonts w:ascii="宋体" w:hAnsi="宋体"/>
                <w:color w:val="auto"/>
                <w:sz w:val="21"/>
                <w:szCs w:val="21"/>
              </w:rPr>
            </w:pPr>
          </w:p>
        </w:tc>
        <w:tc>
          <w:tcPr>
            <w:tcW w:w="1041" w:type="dxa"/>
            <w:vAlign w:val="center"/>
          </w:tcPr>
          <w:p>
            <w:pPr>
              <w:autoSpaceDE w:val="0"/>
              <w:autoSpaceDN w:val="0"/>
              <w:adjustRightInd w:val="0"/>
              <w:spacing w:line="360" w:lineRule="auto"/>
              <w:jc w:val="center"/>
              <w:rPr>
                <w:rFonts w:ascii="宋体" w:hAnsi="宋体"/>
                <w:color w:val="auto"/>
                <w:sz w:val="21"/>
                <w:szCs w:val="21"/>
              </w:rPr>
            </w:pPr>
            <w:r>
              <w:rPr>
                <w:rFonts w:hint="eastAsia" w:ascii="宋体" w:hAnsi="宋体" w:eastAsia="宋体" w:cs="宋体"/>
                <w:b/>
                <w:i w:val="0"/>
                <w:color w:val="000000"/>
                <w:kern w:val="0"/>
                <w:sz w:val="21"/>
                <w:szCs w:val="21"/>
                <w:u w:val="none"/>
                <w:lang w:val="en-US" w:eastAsia="zh-CN" w:bidi="ar"/>
              </w:rPr>
              <w:t>税额</w:t>
            </w:r>
          </w:p>
        </w:tc>
        <w:tc>
          <w:tcPr>
            <w:tcW w:w="1018" w:type="dxa"/>
            <w:vMerge w:val="restart"/>
            <w:vAlign w:val="center"/>
          </w:tcPr>
          <w:p>
            <w:pPr>
              <w:pStyle w:val="3"/>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73" w:hRule="atLeast"/>
          <w:jc w:val="center"/>
        </w:trPr>
        <w:tc>
          <w:tcPr>
            <w:tcW w:w="4040" w:type="dxa"/>
            <w:gridSpan w:val="4"/>
            <w:vMerge w:val="continue"/>
            <w:vAlign w:val="center"/>
          </w:tcPr>
          <w:p>
            <w:pPr>
              <w:autoSpaceDE w:val="0"/>
              <w:autoSpaceDN w:val="0"/>
              <w:adjustRightInd w:val="0"/>
              <w:spacing w:line="360" w:lineRule="auto"/>
              <w:jc w:val="center"/>
            </w:pPr>
          </w:p>
        </w:tc>
        <w:tc>
          <w:tcPr>
            <w:tcW w:w="752" w:type="dxa"/>
            <w:vMerge w:val="continue"/>
            <w:vAlign w:val="center"/>
          </w:tcPr>
          <w:p>
            <w:pPr>
              <w:autoSpaceDE w:val="0"/>
              <w:autoSpaceDN w:val="0"/>
              <w:adjustRightInd w:val="0"/>
              <w:spacing w:line="360" w:lineRule="auto"/>
              <w:jc w:val="center"/>
            </w:pPr>
          </w:p>
        </w:tc>
        <w:tc>
          <w:tcPr>
            <w:tcW w:w="1168" w:type="dxa"/>
            <w:vMerge w:val="continue"/>
            <w:vAlign w:val="center"/>
          </w:tcPr>
          <w:p>
            <w:pPr>
              <w:autoSpaceDE w:val="0"/>
              <w:autoSpaceDN w:val="0"/>
              <w:adjustRightInd w:val="0"/>
              <w:spacing w:line="360" w:lineRule="auto"/>
              <w:jc w:val="center"/>
            </w:pPr>
          </w:p>
        </w:tc>
        <w:tc>
          <w:tcPr>
            <w:tcW w:w="1135" w:type="dxa"/>
            <w:vMerge w:val="continue"/>
            <w:vAlign w:val="center"/>
          </w:tcPr>
          <w:p>
            <w:pPr>
              <w:autoSpaceDE w:val="0"/>
              <w:autoSpaceDN w:val="0"/>
              <w:adjustRightInd w:val="0"/>
              <w:spacing w:line="360" w:lineRule="auto"/>
              <w:jc w:val="center"/>
            </w:pPr>
          </w:p>
        </w:tc>
        <w:tc>
          <w:tcPr>
            <w:tcW w:w="1041" w:type="dxa"/>
            <w:vAlign w:val="center"/>
          </w:tcPr>
          <w:p>
            <w:pPr>
              <w:autoSpaceDE w:val="0"/>
              <w:autoSpaceDN w:val="0"/>
              <w:adjustRightInd w:val="0"/>
              <w:spacing w:line="360" w:lineRule="auto"/>
              <w:jc w:val="center"/>
              <w:rPr>
                <w:rFonts w:ascii="宋体" w:hAnsi="宋体"/>
                <w:color w:val="auto"/>
                <w:szCs w:val="21"/>
              </w:rPr>
            </w:pPr>
          </w:p>
        </w:tc>
        <w:tc>
          <w:tcPr>
            <w:tcW w:w="1018" w:type="dxa"/>
            <w:vMerge w:val="continue"/>
            <w:vAlign w:val="center"/>
          </w:tcPr>
          <w:p>
            <w:pPr>
              <w:autoSpaceDE w:val="0"/>
              <w:autoSpaceDN w:val="0"/>
              <w:adjustRightInd w:val="0"/>
              <w:spacing w:line="360" w:lineRule="auto"/>
              <w:jc w:val="center"/>
              <w:rPr>
                <w:rFonts w:ascii="宋体" w:hAnsi="宋体"/>
                <w:color w:val="auto"/>
                <w:szCs w:val="21"/>
              </w:rPr>
            </w:pPr>
          </w:p>
        </w:tc>
      </w:tr>
    </w:tbl>
    <w:p>
      <w:pPr>
        <w:autoSpaceDE w:val="0"/>
        <w:autoSpaceDN w:val="0"/>
        <w:adjustRightInd w:val="0"/>
        <w:spacing w:line="360" w:lineRule="auto"/>
        <w:ind w:left="141"/>
        <w:rPr>
          <w:rFonts w:hint="eastAsia"/>
          <w:kern w:val="0"/>
          <w:sz w:val="21"/>
          <w:szCs w:val="21"/>
        </w:rPr>
      </w:pPr>
      <w:r>
        <w:rPr>
          <w:rFonts w:hint="eastAsia"/>
          <w:kern w:val="0"/>
          <w:sz w:val="21"/>
          <w:szCs w:val="21"/>
          <w:lang w:val="en-US" w:eastAsia="zh-CN"/>
        </w:rPr>
        <w:t xml:space="preserve">1.2 </w:t>
      </w:r>
      <w:r>
        <w:rPr>
          <w:rFonts w:hint="eastAsia"/>
          <w:kern w:val="0"/>
          <w:sz w:val="21"/>
          <w:szCs w:val="21"/>
        </w:rPr>
        <w:t>以上货物具体的供货范围、技术规格和参数详见合同附件（包括但不限于成交通知书、补充协议（如有）等）。</w:t>
      </w:r>
    </w:p>
    <w:p>
      <w:pPr>
        <w:autoSpaceDE w:val="0"/>
        <w:autoSpaceDN w:val="0"/>
        <w:adjustRightInd w:val="0"/>
        <w:spacing w:line="360" w:lineRule="auto"/>
        <w:ind w:left="141"/>
        <w:rPr>
          <w:sz w:val="21"/>
          <w:szCs w:val="21"/>
        </w:rPr>
      </w:pPr>
      <w:r>
        <w:rPr>
          <w:rFonts w:hint="eastAsia"/>
          <w:kern w:val="0"/>
          <w:sz w:val="21"/>
          <w:szCs w:val="21"/>
          <w:lang w:val="en-US" w:eastAsia="zh-CN"/>
        </w:rPr>
        <w:t>1.3 以上货物合同金额</w:t>
      </w:r>
      <w:r>
        <w:rPr>
          <w:rFonts w:hint="eastAsia"/>
          <w:kern w:val="0"/>
          <w:sz w:val="21"/>
          <w:szCs w:val="21"/>
        </w:rPr>
        <w:t>不含税金额为固定不变价，如遇税收政策变动，税率应按照一般纳税人最新的增值税税率执行，重新计算本合同含税总价。</w:t>
      </w:r>
    </w:p>
    <w:p>
      <w:pPr>
        <w:numPr>
          <w:ilvl w:val="0"/>
          <w:numId w:val="0"/>
        </w:numPr>
        <w:autoSpaceDE w:val="0"/>
        <w:autoSpaceDN w:val="0"/>
        <w:adjustRightInd w:val="0"/>
        <w:spacing w:line="360" w:lineRule="auto"/>
        <w:ind w:leftChars="0"/>
        <w:outlineLvl w:val="1"/>
        <w:rPr>
          <w:b/>
          <w:sz w:val="21"/>
          <w:szCs w:val="21"/>
        </w:rPr>
      </w:pPr>
      <w:bookmarkStart w:id="490" w:name="_Toc6586"/>
      <w:r>
        <w:rPr>
          <w:rFonts w:hint="eastAsia"/>
          <w:b/>
          <w:kern w:val="0"/>
          <w:sz w:val="21"/>
          <w:szCs w:val="21"/>
          <w:lang w:val="en-US" w:eastAsia="zh-CN"/>
        </w:rPr>
        <w:t>二、交货要求</w:t>
      </w:r>
      <w:bookmarkEnd w:id="490"/>
    </w:p>
    <w:p>
      <w:pPr>
        <w:autoSpaceDE w:val="0"/>
        <w:autoSpaceDN w:val="0"/>
        <w:adjustRightInd w:val="0"/>
        <w:spacing w:line="360" w:lineRule="auto"/>
        <w:ind w:left="141"/>
        <w:rPr>
          <w:rFonts w:hint="eastAsia"/>
          <w:kern w:val="0"/>
          <w:sz w:val="21"/>
          <w:szCs w:val="21"/>
          <w:lang w:eastAsia="zh-CN"/>
        </w:rPr>
      </w:pPr>
      <w:r>
        <w:rPr>
          <w:rFonts w:hint="eastAsia"/>
          <w:kern w:val="0"/>
          <w:sz w:val="21"/>
          <w:szCs w:val="21"/>
        </w:rPr>
        <w:t>2.1 质量要求：乙方应保证所供货物必须是全新的（包括所有零配件、专用工具等），表面无划伤，无碰撞，各项技术参数完全符合本</w:t>
      </w:r>
      <w:r>
        <w:rPr>
          <w:rFonts w:hint="eastAsia"/>
          <w:kern w:val="0"/>
          <w:sz w:val="21"/>
          <w:szCs w:val="21"/>
          <w:lang w:val="en-US" w:eastAsia="zh-CN"/>
        </w:rPr>
        <w:t>采购</w:t>
      </w:r>
      <w:r>
        <w:rPr>
          <w:rFonts w:hint="eastAsia"/>
          <w:kern w:val="0"/>
          <w:sz w:val="21"/>
          <w:szCs w:val="21"/>
        </w:rPr>
        <w:t>文件用户需求书的要求</w:t>
      </w:r>
      <w:r>
        <w:rPr>
          <w:rFonts w:hint="eastAsia"/>
          <w:kern w:val="0"/>
          <w:sz w:val="21"/>
          <w:szCs w:val="21"/>
          <w:lang w:eastAsia="zh-CN"/>
        </w:rPr>
        <w:t>，</w:t>
      </w:r>
      <w:r>
        <w:rPr>
          <w:rFonts w:hint="eastAsia"/>
          <w:kern w:val="0"/>
          <w:sz w:val="21"/>
          <w:szCs w:val="21"/>
        </w:rPr>
        <w:t>产品质量</w:t>
      </w:r>
      <w:r>
        <w:rPr>
          <w:rFonts w:hint="eastAsia"/>
          <w:kern w:val="0"/>
          <w:sz w:val="21"/>
          <w:szCs w:val="21"/>
          <w:lang w:val="en-US" w:eastAsia="zh-CN"/>
        </w:rPr>
        <w:t>应</w:t>
      </w:r>
      <w:r>
        <w:rPr>
          <w:rFonts w:hint="eastAsia"/>
          <w:kern w:val="0"/>
          <w:sz w:val="21"/>
          <w:szCs w:val="21"/>
        </w:rPr>
        <w:t>符合国家标准</w:t>
      </w:r>
      <w:r>
        <w:rPr>
          <w:rFonts w:hint="eastAsia"/>
          <w:kern w:val="0"/>
          <w:sz w:val="21"/>
          <w:szCs w:val="21"/>
          <w:lang w:eastAsia="zh-CN"/>
        </w:rPr>
        <w:t>。</w:t>
      </w:r>
    </w:p>
    <w:p>
      <w:pPr>
        <w:autoSpaceDE w:val="0"/>
        <w:autoSpaceDN w:val="0"/>
        <w:adjustRightInd w:val="0"/>
        <w:spacing w:line="360" w:lineRule="auto"/>
        <w:ind w:left="141"/>
        <w:rPr>
          <w:rFonts w:hint="eastAsia"/>
          <w:kern w:val="0"/>
          <w:sz w:val="21"/>
          <w:szCs w:val="21"/>
        </w:rPr>
      </w:pPr>
      <w:r>
        <w:rPr>
          <w:rFonts w:hint="eastAsia"/>
          <w:kern w:val="0"/>
          <w:sz w:val="21"/>
          <w:szCs w:val="21"/>
          <w:lang w:val="en-US" w:eastAsia="zh-CN"/>
        </w:rPr>
        <w:t>2.2 乙方</w:t>
      </w:r>
      <w:r>
        <w:rPr>
          <w:rFonts w:hint="eastAsia"/>
          <w:kern w:val="0"/>
          <w:sz w:val="21"/>
          <w:szCs w:val="21"/>
        </w:rPr>
        <w:t>提供的</w:t>
      </w:r>
      <w:r>
        <w:rPr>
          <w:rFonts w:hint="eastAsia"/>
          <w:kern w:val="0"/>
          <w:sz w:val="21"/>
          <w:szCs w:val="21"/>
          <w:lang w:val="en-US" w:eastAsia="zh-CN"/>
        </w:rPr>
        <w:t>产品</w:t>
      </w:r>
      <w:r>
        <w:rPr>
          <w:rFonts w:hint="eastAsia"/>
          <w:kern w:val="0"/>
          <w:sz w:val="21"/>
          <w:szCs w:val="21"/>
        </w:rPr>
        <w:t>必须是全新的（包括所有零配件、专用工具等），表面无划伤，无碰撞，各项技术参数完全符合本</w:t>
      </w:r>
      <w:r>
        <w:rPr>
          <w:rFonts w:hint="eastAsia"/>
          <w:kern w:val="0"/>
          <w:sz w:val="21"/>
          <w:szCs w:val="21"/>
          <w:lang w:val="en-US" w:eastAsia="zh-CN"/>
        </w:rPr>
        <w:t>采购</w:t>
      </w:r>
      <w:r>
        <w:rPr>
          <w:rFonts w:hint="eastAsia"/>
          <w:kern w:val="0"/>
          <w:sz w:val="21"/>
          <w:szCs w:val="21"/>
        </w:rPr>
        <w:t>文件用户需求书的要求</w:t>
      </w:r>
      <w:r>
        <w:rPr>
          <w:rFonts w:hint="eastAsia"/>
          <w:kern w:val="0"/>
          <w:sz w:val="21"/>
          <w:szCs w:val="21"/>
          <w:lang w:eastAsia="zh-CN"/>
        </w:rPr>
        <w:t>，</w:t>
      </w:r>
      <w:r>
        <w:rPr>
          <w:rFonts w:hint="eastAsia"/>
          <w:kern w:val="0"/>
          <w:sz w:val="21"/>
          <w:szCs w:val="21"/>
        </w:rPr>
        <w:t>产品质量</w:t>
      </w:r>
      <w:r>
        <w:rPr>
          <w:rFonts w:hint="eastAsia"/>
          <w:kern w:val="0"/>
          <w:sz w:val="21"/>
          <w:szCs w:val="21"/>
          <w:lang w:val="en-US" w:eastAsia="zh-CN"/>
        </w:rPr>
        <w:t>应</w:t>
      </w:r>
      <w:r>
        <w:rPr>
          <w:rFonts w:hint="eastAsia"/>
          <w:kern w:val="0"/>
          <w:sz w:val="21"/>
          <w:szCs w:val="21"/>
        </w:rPr>
        <w:t>符合国家标准</w:t>
      </w:r>
      <w:r>
        <w:rPr>
          <w:rFonts w:hint="eastAsia"/>
          <w:kern w:val="0"/>
          <w:sz w:val="21"/>
          <w:szCs w:val="21"/>
          <w:lang w:eastAsia="zh-CN"/>
        </w:rPr>
        <w:t>。</w:t>
      </w:r>
    </w:p>
    <w:p>
      <w:pPr>
        <w:autoSpaceDE w:val="0"/>
        <w:autoSpaceDN w:val="0"/>
        <w:adjustRightInd w:val="0"/>
        <w:spacing w:line="360" w:lineRule="auto"/>
        <w:ind w:left="141"/>
        <w:rPr>
          <w:rFonts w:hint="eastAsia"/>
          <w:kern w:val="0"/>
          <w:sz w:val="21"/>
          <w:szCs w:val="21"/>
        </w:rPr>
      </w:pPr>
      <w:r>
        <w:rPr>
          <w:rFonts w:hint="eastAsia"/>
          <w:kern w:val="0"/>
          <w:sz w:val="21"/>
          <w:szCs w:val="21"/>
          <w:lang w:val="en-US" w:eastAsia="zh-CN"/>
        </w:rPr>
        <w:t xml:space="preserve">2.3 </w:t>
      </w:r>
      <w:r>
        <w:rPr>
          <w:rFonts w:hint="eastAsia"/>
          <w:kern w:val="0"/>
          <w:sz w:val="21"/>
          <w:szCs w:val="21"/>
        </w:rPr>
        <w:t>在供货期内，</w:t>
      </w:r>
      <w:r>
        <w:rPr>
          <w:rFonts w:hint="eastAsia"/>
          <w:kern w:val="0"/>
          <w:sz w:val="21"/>
          <w:szCs w:val="21"/>
          <w:lang w:val="en-US" w:eastAsia="zh-CN"/>
        </w:rPr>
        <w:t>乙方</w:t>
      </w:r>
      <w:r>
        <w:rPr>
          <w:rFonts w:hint="eastAsia"/>
          <w:kern w:val="0"/>
          <w:sz w:val="21"/>
          <w:szCs w:val="21"/>
        </w:rPr>
        <w:t>所供应货物如需国家强制性认证的，供货时必须同时提供相应产品证书（提供承诺书）。</w:t>
      </w:r>
    </w:p>
    <w:p>
      <w:pPr>
        <w:autoSpaceDE w:val="0"/>
        <w:autoSpaceDN w:val="0"/>
        <w:adjustRightInd w:val="0"/>
        <w:spacing w:line="360" w:lineRule="auto"/>
        <w:ind w:left="141"/>
        <w:rPr>
          <w:rFonts w:hint="eastAsia"/>
          <w:kern w:val="0"/>
          <w:sz w:val="21"/>
          <w:szCs w:val="21"/>
          <w:lang w:val="zh-CN" w:eastAsia="zh-CN"/>
        </w:rPr>
      </w:pPr>
      <w:r>
        <w:rPr>
          <w:rFonts w:hint="eastAsia"/>
          <w:kern w:val="0"/>
          <w:sz w:val="21"/>
          <w:szCs w:val="21"/>
          <w:lang w:val="en-US" w:eastAsia="zh-CN"/>
        </w:rPr>
        <w:t>2.4 部署服务要求：乙方应</w:t>
      </w:r>
      <w:r>
        <w:rPr>
          <w:rFonts w:hint="eastAsia"/>
          <w:kern w:val="0"/>
          <w:sz w:val="21"/>
          <w:szCs w:val="21"/>
          <w:lang w:val="zh-CN" w:eastAsia="zh-CN"/>
        </w:rPr>
        <w:t>在合同签订之日起</w:t>
      </w:r>
      <w:r>
        <w:rPr>
          <w:rFonts w:hint="eastAsia"/>
          <w:kern w:val="0"/>
          <w:sz w:val="21"/>
          <w:szCs w:val="21"/>
          <w:u w:val="single"/>
          <w:lang w:val="en-US" w:eastAsia="zh-CN"/>
        </w:rPr>
        <w:t xml:space="preserve"> 30 </w:t>
      </w:r>
      <w:r>
        <w:rPr>
          <w:rFonts w:hint="eastAsia"/>
          <w:kern w:val="0"/>
          <w:sz w:val="21"/>
          <w:szCs w:val="21"/>
          <w:lang w:val="en-US" w:eastAsia="zh-CN"/>
        </w:rPr>
        <w:t>日历日</w:t>
      </w:r>
      <w:r>
        <w:rPr>
          <w:rFonts w:hint="eastAsia"/>
          <w:kern w:val="0"/>
          <w:sz w:val="21"/>
          <w:szCs w:val="21"/>
          <w:lang w:val="zh-CN" w:eastAsia="zh-CN"/>
        </w:rPr>
        <w:t>内完成本采购文件提出的系统</w:t>
      </w:r>
      <w:r>
        <w:rPr>
          <w:rFonts w:hint="eastAsia"/>
          <w:kern w:val="0"/>
          <w:sz w:val="21"/>
          <w:szCs w:val="21"/>
          <w:lang w:val="en-US" w:eastAsia="zh-CN"/>
        </w:rPr>
        <w:t>搭建及数据迁移专业部署服务要求。</w:t>
      </w:r>
    </w:p>
    <w:p>
      <w:pPr>
        <w:autoSpaceDE w:val="0"/>
        <w:autoSpaceDN w:val="0"/>
        <w:adjustRightInd w:val="0"/>
        <w:spacing w:line="360" w:lineRule="auto"/>
        <w:ind w:left="141"/>
        <w:rPr>
          <w:rFonts w:hint="eastAsia"/>
          <w:kern w:val="0"/>
          <w:sz w:val="21"/>
          <w:szCs w:val="21"/>
        </w:rPr>
      </w:pPr>
      <w:r>
        <w:rPr>
          <w:rFonts w:hint="eastAsia"/>
          <w:kern w:val="0"/>
          <w:sz w:val="21"/>
          <w:szCs w:val="21"/>
          <w:lang w:val="en-US" w:eastAsia="zh-CN"/>
        </w:rPr>
        <w:t>2.5 供货期限</w:t>
      </w:r>
      <w:r>
        <w:rPr>
          <w:rFonts w:hint="eastAsia"/>
          <w:kern w:val="0"/>
          <w:sz w:val="21"/>
          <w:szCs w:val="21"/>
        </w:rPr>
        <w:t>：</w:t>
      </w:r>
      <w:r>
        <w:rPr>
          <w:rFonts w:hint="eastAsia" w:ascii="宋体" w:hAnsi="宋体" w:cstheme="minorEastAsia"/>
          <w:color w:val="auto"/>
        </w:rPr>
        <w:t>合同签订后</w:t>
      </w:r>
      <w:r>
        <w:rPr>
          <w:rFonts w:hint="eastAsia" w:ascii="宋体" w:hAnsi="宋体" w:cstheme="minorEastAsia"/>
          <w:color w:val="auto"/>
          <w:u w:val="single"/>
          <w:lang w:val="en-US" w:eastAsia="zh-CN"/>
        </w:rPr>
        <w:t xml:space="preserve"> 30 </w:t>
      </w:r>
      <w:r>
        <w:rPr>
          <w:rFonts w:hint="eastAsia" w:ascii="宋体" w:hAnsi="宋体" w:cstheme="minorEastAsia"/>
          <w:color w:val="auto"/>
          <w:lang w:val="en-US" w:eastAsia="zh-CN"/>
        </w:rPr>
        <w:t>日历</w:t>
      </w:r>
      <w:r>
        <w:rPr>
          <w:rFonts w:hint="eastAsia" w:ascii="宋体" w:hAnsi="宋体" w:cstheme="minorEastAsia"/>
          <w:color w:val="auto"/>
        </w:rPr>
        <w:t>日内</w:t>
      </w:r>
      <w:r>
        <w:rPr>
          <w:rFonts w:hint="eastAsia" w:ascii="宋体" w:hAnsi="宋体" w:cstheme="minorEastAsia"/>
          <w:color w:val="auto"/>
          <w:lang w:val="en-US" w:eastAsia="zh-CN"/>
        </w:rPr>
        <w:t>完成</w:t>
      </w:r>
      <w:r>
        <w:rPr>
          <w:rFonts w:hint="eastAsia" w:ascii="宋体" w:hAnsi="宋体" w:cstheme="minorEastAsia"/>
          <w:color w:val="auto"/>
        </w:rPr>
        <w:t>。</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 xml:space="preserve">2.6 </w:t>
      </w:r>
      <w:r>
        <w:rPr>
          <w:rFonts w:hint="eastAsia"/>
          <w:kern w:val="0"/>
          <w:sz w:val="21"/>
          <w:szCs w:val="21"/>
        </w:rPr>
        <w:t>交货地点：</w:t>
      </w:r>
      <w:r>
        <w:rPr>
          <w:rFonts w:hint="eastAsia"/>
          <w:kern w:val="0"/>
          <w:sz w:val="21"/>
          <w:szCs w:val="21"/>
          <w:lang w:val="en-US" w:eastAsia="zh-CN"/>
        </w:rPr>
        <w:t>广州市番禺区石楼镇潮田工业区珠江路1-2号综合楼3楼</w:t>
      </w:r>
    </w:p>
    <w:p>
      <w:pPr>
        <w:autoSpaceDE w:val="0"/>
        <w:autoSpaceDN w:val="0"/>
        <w:adjustRightInd w:val="0"/>
        <w:spacing w:line="360" w:lineRule="auto"/>
        <w:ind w:left="141"/>
        <w:rPr>
          <w:rFonts w:hint="eastAsia" w:ascii="Times New Roman" w:hAnsi="Times New Roman" w:eastAsia="宋体" w:cs="Times New Roman"/>
          <w:bCs w:val="0"/>
          <w:spacing w:val="0"/>
          <w:kern w:val="0"/>
          <w:sz w:val="21"/>
          <w:szCs w:val="21"/>
          <w:lang w:val="en-US" w:eastAsia="zh-CN" w:bidi="ar-SA"/>
        </w:rPr>
      </w:pPr>
      <w:r>
        <w:rPr>
          <w:rFonts w:hint="eastAsia" w:cs="Times New Roman"/>
          <w:bCs w:val="0"/>
          <w:spacing w:val="0"/>
          <w:kern w:val="0"/>
          <w:sz w:val="21"/>
          <w:szCs w:val="21"/>
          <w:lang w:val="en-US" w:eastAsia="zh-CN" w:bidi="ar-SA"/>
        </w:rPr>
        <w:t xml:space="preserve">2.7 </w:t>
      </w:r>
      <w:r>
        <w:rPr>
          <w:rFonts w:hint="eastAsia" w:ascii="Times New Roman" w:hAnsi="Times New Roman" w:eastAsia="宋体" w:cs="Times New Roman"/>
          <w:bCs w:val="0"/>
          <w:spacing w:val="0"/>
          <w:kern w:val="0"/>
          <w:sz w:val="21"/>
          <w:szCs w:val="21"/>
          <w:lang w:val="en-US" w:eastAsia="zh-CN" w:bidi="ar-SA"/>
        </w:rPr>
        <w:t>收货人</w:t>
      </w:r>
      <w:r>
        <w:rPr>
          <w:rFonts w:hint="eastAsia" w:cs="Times New Roman"/>
          <w:bCs w:val="0"/>
          <w:spacing w:val="0"/>
          <w:kern w:val="0"/>
          <w:sz w:val="21"/>
          <w:szCs w:val="21"/>
          <w:lang w:val="en-US" w:eastAsia="zh-CN" w:bidi="ar-SA"/>
        </w:rPr>
        <w:t>及联系方式</w:t>
      </w:r>
      <w:r>
        <w:rPr>
          <w:rFonts w:hint="eastAsia" w:ascii="Times New Roman" w:hAnsi="Times New Roman" w:eastAsia="宋体" w:cs="Times New Roman"/>
          <w:bCs w:val="0"/>
          <w:spacing w:val="0"/>
          <w:kern w:val="0"/>
          <w:sz w:val="21"/>
          <w:szCs w:val="21"/>
          <w:lang w:val="en-US" w:eastAsia="zh-CN" w:bidi="ar-SA"/>
        </w:rPr>
        <w:t>：</w:t>
      </w:r>
      <w:r>
        <w:rPr>
          <w:rFonts w:hint="eastAsia" w:cs="Times New Roman"/>
          <w:bCs w:val="0"/>
          <w:spacing w:val="0"/>
          <w:kern w:val="0"/>
          <w:sz w:val="21"/>
          <w:szCs w:val="21"/>
          <w:lang w:val="en-US" w:eastAsia="zh-CN" w:bidi="ar-SA"/>
        </w:rPr>
        <w:t>由甲方指定联系人。</w:t>
      </w:r>
    </w:p>
    <w:p>
      <w:pPr>
        <w:autoSpaceDE w:val="0"/>
        <w:autoSpaceDN w:val="0"/>
        <w:adjustRightInd w:val="0"/>
        <w:spacing w:line="360" w:lineRule="auto"/>
        <w:ind w:left="141"/>
        <w:rPr>
          <w:rFonts w:hint="eastAsia"/>
          <w:kern w:val="0"/>
          <w:sz w:val="21"/>
          <w:szCs w:val="21"/>
        </w:rPr>
      </w:pPr>
      <w:r>
        <w:rPr>
          <w:rFonts w:hint="eastAsia"/>
          <w:kern w:val="0"/>
          <w:sz w:val="21"/>
          <w:szCs w:val="21"/>
          <w:lang w:val="en-US" w:eastAsia="zh-CN"/>
        </w:rPr>
        <w:t xml:space="preserve">2.7 </w:t>
      </w:r>
      <w:r>
        <w:rPr>
          <w:rFonts w:hint="eastAsia"/>
          <w:kern w:val="0"/>
          <w:sz w:val="21"/>
          <w:szCs w:val="21"/>
        </w:rPr>
        <w:t>货物在交货时须提供该批次的出厂合格证书和授权书原件。</w:t>
      </w:r>
    </w:p>
    <w:p>
      <w:pPr>
        <w:autoSpaceDE w:val="0"/>
        <w:autoSpaceDN w:val="0"/>
        <w:adjustRightInd w:val="0"/>
        <w:spacing w:line="360" w:lineRule="auto"/>
        <w:ind w:left="141"/>
        <w:rPr>
          <w:rFonts w:hint="eastAsia"/>
          <w:kern w:val="0"/>
          <w:sz w:val="21"/>
          <w:szCs w:val="21"/>
        </w:rPr>
      </w:pPr>
      <w:r>
        <w:rPr>
          <w:rFonts w:hint="eastAsia"/>
          <w:kern w:val="0"/>
          <w:sz w:val="21"/>
          <w:szCs w:val="21"/>
          <w:lang w:val="en-US" w:eastAsia="zh-CN"/>
        </w:rPr>
        <w:t xml:space="preserve">2.8 </w:t>
      </w:r>
      <w:r>
        <w:rPr>
          <w:rFonts w:hint="eastAsia"/>
          <w:kern w:val="0"/>
          <w:sz w:val="21"/>
          <w:szCs w:val="21"/>
        </w:rPr>
        <w:t>配送要求：产品由</w:t>
      </w:r>
      <w:r>
        <w:rPr>
          <w:rFonts w:hint="eastAsia"/>
          <w:kern w:val="0"/>
          <w:sz w:val="21"/>
          <w:szCs w:val="21"/>
          <w:lang w:val="en-US" w:eastAsia="zh-CN"/>
        </w:rPr>
        <w:t>乙方</w:t>
      </w:r>
      <w:r>
        <w:rPr>
          <w:rFonts w:hint="eastAsia"/>
          <w:kern w:val="0"/>
          <w:sz w:val="21"/>
          <w:szCs w:val="21"/>
        </w:rPr>
        <w:t>直接配送</w:t>
      </w:r>
      <w:r>
        <w:rPr>
          <w:rFonts w:hint="eastAsia"/>
          <w:kern w:val="0"/>
          <w:sz w:val="21"/>
          <w:szCs w:val="21"/>
          <w:lang w:eastAsia="zh-CN"/>
        </w:rPr>
        <w:t>，</w:t>
      </w:r>
      <w:r>
        <w:rPr>
          <w:rFonts w:hint="eastAsia"/>
          <w:kern w:val="0"/>
          <w:sz w:val="21"/>
          <w:szCs w:val="21"/>
          <w:lang w:val="en-US" w:eastAsia="zh-CN"/>
        </w:rPr>
        <w:t>配送的</w:t>
      </w:r>
      <w:r>
        <w:rPr>
          <w:rFonts w:hint="eastAsia"/>
          <w:kern w:val="0"/>
          <w:sz w:val="21"/>
          <w:szCs w:val="21"/>
        </w:rPr>
        <w:t>产品应按有关要求进行包装并采用适当的运输方式运抵合同交货地点；货物的装卸、搬运由</w:t>
      </w:r>
      <w:r>
        <w:rPr>
          <w:rFonts w:hint="eastAsia"/>
          <w:kern w:val="0"/>
          <w:sz w:val="21"/>
          <w:szCs w:val="21"/>
          <w:lang w:val="en-US" w:eastAsia="zh-CN"/>
        </w:rPr>
        <w:t>乙方</w:t>
      </w:r>
      <w:r>
        <w:rPr>
          <w:rFonts w:hint="eastAsia"/>
          <w:kern w:val="0"/>
          <w:sz w:val="21"/>
          <w:szCs w:val="21"/>
        </w:rPr>
        <w:t>负责，</w:t>
      </w:r>
      <w:r>
        <w:rPr>
          <w:rFonts w:hint="eastAsia"/>
          <w:kern w:val="0"/>
          <w:sz w:val="21"/>
          <w:szCs w:val="21"/>
          <w:lang w:val="en-US" w:eastAsia="zh-CN"/>
        </w:rPr>
        <w:t>甲方</w:t>
      </w:r>
      <w:r>
        <w:rPr>
          <w:rFonts w:hint="eastAsia"/>
          <w:kern w:val="0"/>
          <w:sz w:val="21"/>
          <w:szCs w:val="21"/>
        </w:rPr>
        <w:t>无义务提供装卸工具。</w:t>
      </w:r>
    </w:p>
    <w:p>
      <w:pPr>
        <w:autoSpaceDE w:val="0"/>
        <w:autoSpaceDN w:val="0"/>
        <w:adjustRightInd w:val="0"/>
        <w:spacing w:line="360" w:lineRule="auto"/>
        <w:ind w:left="141"/>
        <w:rPr>
          <w:rFonts w:hint="eastAsia"/>
          <w:kern w:val="0"/>
          <w:sz w:val="21"/>
          <w:szCs w:val="21"/>
        </w:rPr>
      </w:pPr>
      <w:r>
        <w:rPr>
          <w:rFonts w:hint="eastAsia"/>
          <w:kern w:val="0"/>
          <w:sz w:val="21"/>
          <w:szCs w:val="21"/>
          <w:lang w:val="en-US" w:eastAsia="zh-CN"/>
        </w:rPr>
        <w:t>2.8 乙方</w:t>
      </w:r>
      <w:r>
        <w:rPr>
          <w:rFonts w:hint="eastAsia"/>
          <w:kern w:val="0"/>
          <w:sz w:val="21"/>
          <w:szCs w:val="21"/>
        </w:rPr>
        <w:t>交货时须随附货物清单，且必须提供：货物原出厂产品合格证和相关所投产品的认证证书等有效证明文件。</w:t>
      </w:r>
    </w:p>
    <w:p>
      <w:pPr>
        <w:numPr>
          <w:ilvl w:val="0"/>
          <w:numId w:val="0"/>
        </w:numPr>
        <w:autoSpaceDE w:val="0"/>
        <w:autoSpaceDN w:val="0"/>
        <w:adjustRightInd w:val="0"/>
        <w:spacing w:line="360" w:lineRule="auto"/>
        <w:ind w:leftChars="0"/>
        <w:outlineLvl w:val="1"/>
        <w:rPr>
          <w:rFonts w:hint="eastAsia"/>
          <w:b/>
          <w:kern w:val="0"/>
          <w:sz w:val="21"/>
          <w:szCs w:val="21"/>
          <w:lang w:val="zh-CN" w:eastAsia="zh-CN"/>
        </w:rPr>
      </w:pPr>
      <w:bookmarkStart w:id="491" w:name="_Toc19498"/>
      <w:r>
        <w:rPr>
          <w:rFonts w:hint="eastAsia"/>
          <w:b/>
          <w:kern w:val="0"/>
          <w:sz w:val="21"/>
          <w:szCs w:val="21"/>
          <w:lang w:val="en-US" w:eastAsia="zh-CN"/>
        </w:rPr>
        <w:t>三、</w:t>
      </w:r>
      <w:r>
        <w:rPr>
          <w:rFonts w:hint="eastAsia"/>
          <w:b/>
          <w:kern w:val="0"/>
          <w:sz w:val="21"/>
          <w:szCs w:val="21"/>
          <w:lang w:val="zh-CN" w:eastAsia="zh-CN"/>
        </w:rPr>
        <w:t>验收要求</w:t>
      </w:r>
      <w:bookmarkEnd w:id="491"/>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3.1 验收方法按本项目的技术要求进行。货物质控要求符合甲方的技术参数标准或其他有效方法判断标准要求。</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3.2 对不合格的产品，甲方有权退回乙方，所产生的有关费用由乙方承担，甲方不予支付任何费用。</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3.3 甲方组成验收小组按国家有关规定、规范进行验收，必要时邀请相关的专业人员或机构参与验收。因设备材料质量问题发生争议时，由本地质量技术监督部门鉴定。设备材料符合质量技术标准的，鉴定费由甲方承担；否则鉴定费由乙方承担。</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3.4 对于不能在收到货物时当场进行验收的货物，甲方在使用过程中发现有质量问题的，乙方需在5个工作日内无条件换货或退货。</w:t>
      </w:r>
    </w:p>
    <w:p>
      <w:pPr>
        <w:numPr>
          <w:ilvl w:val="0"/>
          <w:numId w:val="0"/>
        </w:numPr>
        <w:spacing w:line="360" w:lineRule="auto"/>
        <w:ind w:leftChars="0"/>
        <w:outlineLvl w:val="1"/>
        <w:rPr>
          <w:rFonts w:hint="eastAsia" w:asciiTheme="minorEastAsia" w:hAnsiTheme="minorEastAsia" w:eastAsiaTheme="minorEastAsia" w:cstheme="minorEastAsia"/>
          <w:b/>
          <w:bCs w:val="0"/>
          <w:color w:val="auto"/>
          <w:szCs w:val="21"/>
          <w:lang w:val="en-US" w:eastAsia="zh-CN"/>
        </w:rPr>
      </w:pPr>
      <w:bookmarkStart w:id="492" w:name="_Toc20658"/>
      <w:r>
        <w:rPr>
          <w:rFonts w:hint="eastAsia" w:asciiTheme="minorEastAsia" w:hAnsiTheme="minorEastAsia" w:eastAsiaTheme="minorEastAsia" w:cstheme="minorEastAsia"/>
          <w:b/>
          <w:bCs w:val="0"/>
          <w:color w:val="auto"/>
          <w:szCs w:val="21"/>
          <w:lang w:val="en-US" w:eastAsia="zh-CN"/>
        </w:rPr>
        <w:t>四、质保期、售后服务</w:t>
      </w:r>
      <w:bookmarkEnd w:id="492"/>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4.1 乙方应将其提供的合同货物运抵现场，并经验收合格方可交付甲方。</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4.2 乙方为甲方提供自验收后不少于 3年的免费维护服务，由原厂工程师服务，为甲方提供IT专业支持与关键任务。</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4.3 质保期内正常使用下，因非人为因素损坏的，乙方在收到有关通知后，一周内予以更换，质保期内全部服务费和更换货物的费用由乙方承担。</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4.4 质保期内乙方须进行质量“三包”。质保期后，乙方应继续为合同货物的使用提供更换、维修等终身技术支持。</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4.5 乙方必须设有售后服务电话热线，保证在接到故障电话后及时响应用户，在收到服务要求时2小时内有专人答复，1 天内有专职工作人员到达现场解决。</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4.6 如货物经甲方确定不能达到合同约定的质量标准或厂家的质量标准或检验标准的要求,甲方有权退货,并依法追究乙方的违约责任。</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4.7 甲方在广州市设有长期固定的服务机构，提供可靠的货物售后服务保障，提供正常的备品备件等项目的服务。</w:t>
      </w:r>
    </w:p>
    <w:p>
      <w:pPr>
        <w:numPr>
          <w:ilvl w:val="-1"/>
          <w:numId w:val="0"/>
        </w:numPr>
        <w:spacing w:line="360" w:lineRule="auto"/>
        <w:ind w:leftChars="0"/>
        <w:outlineLvl w:val="1"/>
        <w:rPr>
          <w:rFonts w:hint="eastAsia"/>
          <w:lang w:eastAsia="zh-CN"/>
        </w:rPr>
      </w:pPr>
      <w:bookmarkStart w:id="493" w:name="_Toc4350"/>
      <w:r>
        <w:rPr>
          <w:rFonts w:hint="eastAsia" w:asciiTheme="minorEastAsia" w:hAnsiTheme="minorEastAsia" w:eastAsiaTheme="minorEastAsia" w:cstheme="minorEastAsia"/>
          <w:b/>
          <w:bCs/>
          <w:color w:val="auto"/>
          <w:sz w:val="21"/>
          <w:szCs w:val="21"/>
          <w:highlight w:val="none"/>
          <w:lang w:val="en-US" w:eastAsia="zh-CN"/>
        </w:rPr>
        <w:t>五、</w:t>
      </w:r>
      <w:r>
        <w:rPr>
          <w:rFonts w:hint="eastAsia" w:asciiTheme="minorEastAsia" w:hAnsiTheme="minorEastAsia" w:eastAsiaTheme="minorEastAsia" w:cstheme="minorEastAsia"/>
          <w:b/>
          <w:bCs/>
          <w:color w:val="auto"/>
          <w:sz w:val="21"/>
          <w:szCs w:val="21"/>
          <w:highlight w:val="none"/>
          <w:lang w:eastAsia="zh-CN"/>
        </w:rPr>
        <w:t>付款方式</w:t>
      </w:r>
      <w:bookmarkEnd w:id="493"/>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本合同的每笔款项均以人民币方式支付，按下列步骤分期支付：</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5.1 合同签订生效之日起10个工作日内，甲方凭乙方提供的等额增值税专用正式发票向乙方预付合同总价的50%，为合同预付款；</w:t>
      </w:r>
    </w:p>
    <w:p>
      <w:pPr>
        <w:autoSpaceDE w:val="0"/>
        <w:autoSpaceDN w:val="0"/>
        <w:adjustRightInd w:val="0"/>
        <w:spacing w:line="360" w:lineRule="auto"/>
        <w:ind w:left="141"/>
        <w:rPr>
          <w:rFonts w:hint="eastAsia" w:ascii="宋体" w:hAnsi="宋体"/>
          <w:b/>
          <w:color w:val="auto"/>
          <w:szCs w:val="21"/>
          <w:highlight w:val="none"/>
        </w:rPr>
      </w:pPr>
      <w:r>
        <w:rPr>
          <w:rFonts w:hint="eastAsia"/>
          <w:kern w:val="0"/>
          <w:sz w:val="21"/>
          <w:szCs w:val="21"/>
          <w:lang w:val="en-US" w:eastAsia="zh-CN"/>
        </w:rPr>
        <w:t>5.2 全部设备安装、调试完毕，</w:t>
      </w:r>
      <w:r>
        <w:rPr>
          <w:rFonts w:hint="eastAsia"/>
          <w:kern w:val="0"/>
          <w:sz w:val="21"/>
          <w:szCs w:val="21"/>
          <w:lang w:val="zh-CN" w:eastAsia="zh-CN"/>
        </w:rPr>
        <w:t>系统</w:t>
      </w:r>
      <w:r>
        <w:rPr>
          <w:rFonts w:hint="eastAsia"/>
          <w:kern w:val="0"/>
          <w:sz w:val="21"/>
          <w:szCs w:val="21"/>
          <w:lang w:val="en-US" w:eastAsia="zh-CN"/>
        </w:rPr>
        <w:t>搭建及数据迁移专业部署完毕，并通过甲方组织的验收合格，提交全部验收报告材料后10个工作日内，甲方凭乙方提供的验收报告、送货单等证明交易的依据、等额增值税专用正式发票向乙方支付合同总价的50%，为合同末期款。</w:t>
      </w:r>
    </w:p>
    <w:p>
      <w:pPr>
        <w:numPr>
          <w:ilvl w:val="0"/>
          <w:numId w:val="22"/>
        </w:numPr>
        <w:spacing w:line="360" w:lineRule="auto"/>
        <w:ind w:leftChars="0"/>
        <w:outlineLvl w:val="1"/>
        <w:rPr>
          <w:rFonts w:hint="eastAsia" w:asciiTheme="minorEastAsia" w:hAnsiTheme="minorEastAsia" w:eastAsiaTheme="minorEastAsia" w:cstheme="minorEastAsia"/>
          <w:b/>
          <w:bCs/>
          <w:color w:val="auto"/>
          <w:sz w:val="21"/>
          <w:szCs w:val="21"/>
          <w:highlight w:val="none"/>
          <w:lang w:val="en-US" w:eastAsia="zh-CN"/>
        </w:rPr>
      </w:pPr>
      <w:bookmarkStart w:id="494" w:name="_Toc16930"/>
      <w:r>
        <w:rPr>
          <w:rFonts w:hint="eastAsia" w:asciiTheme="minorEastAsia" w:hAnsiTheme="minorEastAsia" w:eastAsiaTheme="minorEastAsia" w:cstheme="minorEastAsia"/>
          <w:b/>
          <w:bCs/>
          <w:color w:val="auto"/>
          <w:sz w:val="21"/>
          <w:szCs w:val="21"/>
          <w:highlight w:val="none"/>
          <w:lang w:val="en-US" w:eastAsia="zh-CN"/>
        </w:rPr>
        <w:t>保密</w:t>
      </w:r>
      <w:bookmarkEnd w:id="494"/>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 xml:space="preserve">    甲乙双方应履行保密义务，未经对方书面同意，任何一方都不得向与本合同无关的任何第三方泄露双方的业务、商务或技术秘密。</w:t>
      </w:r>
    </w:p>
    <w:p>
      <w:pPr>
        <w:numPr>
          <w:ilvl w:val="0"/>
          <w:numId w:val="0"/>
        </w:numPr>
        <w:spacing w:before="180" w:line="360" w:lineRule="auto"/>
        <w:ind w:leftChars="0"/>
        <w:outlineLvl w:val="1"/>
        <w:rPr>
          <w:rFonts w:ascii="宋体" w:hAnsi="宋体"/>
          <w:b/>
          <w:color w:val="auto"/>
          <w:szCs w:val="21"/>
        </w:rPr>
      </w:pPr>
      <w:bookmarkStart w:id="495" w:name="_Toc1426"/>
      <w:r>
        <w:rPr>
          <w:rFonts w:hint="eastAsia" w:ascii="宋体" w:hAnsi="宋体"/>
          <w:b/>
          <w:color w:val="auto"/>
          <w:szCs w:val="21"/>
          <w:lang w:val="en-US" w:eastAsia="zh-CN"/>
        </w:rPr>
        <w:t>七、</w:t>
      </w:r>
      <w:r>
        <w:rPr>
          <w:rFonts w:hint="eastAsia" w:ascii="宋体" w:hAnsi="宋体"/>
          <w:b/>
          <w:color w:val="auto"/>
          <w:szCs w:val="21"/>
        </w:rPr>
        <w:t>知识产权</w:t>
      </w:r>
      <w:bookmarkEnd w:id="495"/>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7.1 乙方应保证，</w:t>
      </w:r>
      <w:r>
        <w:rPr>
          <w:rFonts w:hint="eastAsia"/>
          <w:kern w:val="0"/>
          <w:sz w:val="21"/>
          <w:szCs w:val="21"/>
          <w:lang w:val="en-GB" w:eastAsia="zh-CN"/>
        </w:rPr>
        <w:t>其响应报价中必须包括合法获取该知识产权的一切相关费用，如</w:t>
      </w:r>
      <w:r>
        <w:rPr>
          <w:rFonts w:hint="eastAsia"/>
          <w:kern w:val="0"/>
          <w:sz w:val="21"/>
          <w:szCs w:val="21"/>
          <w:lang w:val="en-US" w:eastAsia="zh-CN"/>
        </w:rPr>
        <w:t>甲方</w:t>
      </w:r>
      <w:r>
        <w:rPr>
          <w:rFonts w:hint="eastAsia"/>
          <w:kern w:val="0"/>
          <w:sz w:val="21"/>
          <w:szCs w:val="21"/>
          <w:lang w:val="en-GB" w:eastAsia="zh-CN"/>
        </w:rPr>
        <w:t>没有单独列出的，视为已包含在相应报价中</w:t>
      </w:r>
      <w:r>
        <w:rPr>
          <w:rFonts w:hint="eastAsia"/>
          <w:kern w:val="0"/>
          <w:sz w:val="21"/>
          <w:szCs w:val="21"/>
          <w:lang w:val="en-US" w:eastAsia="zh-CN"/>
        </w:rPr>
        <w:t>。甲方在中华人民共和国使用该货物或货物的任何一部份时，免受第三方提出的侵其专利权、商标权或其他知识产权的起诉。如发生此类纠纷，由乙方承担一切责任。乙方并应保证，其提供的所有软件均是正版软件；使用中如发现盗版，甲方保留追诉权。</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7.2 乙方为执行本合同而提供的技术资料、软件的使用权归甲方所有。</w:t>
      </w:r>
    </w:p>
    <w:p>
      <w:pPr>
        <w:numPr>
          <w:ilvl w:val="0"/>
          <w:numId w:val="0"/>
        </w:numPr>
        <w:spacing w:before="180" w:line="360" w:lineRule="auto"/>
        <w:ind w:leftChars="0"/>
        <w:outlineLvl w:val="1"/>
        <w:rPr>
          <w:rFonts w:hint="eastAsia" w:ascii="宋体" w:hAnsi="宋体"/>
          <w:b/>
          <w:color w:val="auto"/>
          <w:szCs w:val="21"/>
          <w:lang w:eastAsia="zh-CN"/>
        </w:rPr>
      </w:pPr>
      <w:bookmarkStart w:id="496" w:name="_Toc28636"/>
      <w:r>
        <w:rPr>
          <w:rFonts w:hint="eastAsia" w:ascii="宋体" w:hAnsi="宋体"/>
          <w:b/>
          <w:color w:val="auto"/>
          <w:szCs w:val="21"/>
          <w:lang w:val="en-US" w:eastAsia="zh-CN"/>
        </w:rPr>
        <w:t>八、</w:t>
      </w:r>
      <w:r>
        <w:rPr>
          <w:rFonts w:hint="eastAsia" w:ascii="宋体" w:hAnsi="宋体"/>
          <w:b/>
          <w:color w:val="auto"/>
          <w:szCs w:val="21"/>
          <w:lang w:eastAsia="zh-CN"/>
        </w:rPr>
        <w:t>违约责任与赔偿损失</w:t>
      </w:r>
      <w:bookmarkEnd w:id="496"/>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8.1 乙方交付的货物和提供的服务不符合采购文件、竞选文件或本合同规定的，甲方有权拒收，并且乙方须向甲方支付本合同总价5%的违约金。</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8.2 除不可抗力因素外，乙方如未能按本合同规定的交货时间交付货物和提供服务，应及时以书面形式将延迟的事实、可能延迟的时间和原因通知甲方。甲方收到乙方通知后，将尽快作出评审，决定是否同意延长交货期及收取误期赔偿费。甲方在不影响合同项下的其它补救措施情况下，可从合同未付款中扣除误期违约金。乙方从逾期之日起每日按本合同总价3‰的数额向甲方支付违约金；逾期30天以上（含30天）的，甲方有权终止合同，要求乙方支付违约金，并且给甲方造成的经济损失由乙方承担赔偿责任。</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8.3 甲方无正当理由拒收货物/接受服务，到期拒付货物/服务款项的，甲方向乙方偿付本合同总价的5%的违约金。甲方逾期付款，则乙方有权延期交货，并有权要求甲方每日按本合同总价的3‰向乙方偿付违约金。</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8.4 其它违约责任按《中华人民共和国合同法》处理。</w:t>
      </w:r>
    </w:p>
    <w:p>
      <w:pPr>
        <w:numPr>
          <w:ilvl w:val="0"/>
          <w:numId w:val="0"/>
        </w:numPr>
        <w:spacing w:before="180" w:line="360" w:lineRule="auto"/>
        <w:ind w:leftChars="0"/>
        <w:outlineLvl w:val="1"/>
        <w:rPr>
          <w:rFonts w:hint="eastAsia" w:ascii="宋体" w:hAnsi="宋体"/>
          <w:b/>
          <w:color w:val="auto"/>
          <w:szCs w:val="21"/>
          <w:lang w:eastAsia="zh-CN"/>
        </w:rPr>
      </w:pPr>
      <w:bookmarkStart w:id="497" w:name="_Toc10144"/>
      <w:r>
        <w:rPr>
          <w:rFonts w:hint="eastAsia" w:ascii="宋体" w:hAnsi="宋体"/>
          <w:b/>
          <w:color w:val="auto"/>
          <w:szCs w:val="21"/>
          <w:lang w:val="en-US" w:eastAsia="zh-CN"/>
        </w:rPr>
        <w:t>九、</w:t>
      </w:r>
      <w:r>
        <w:rPr>
          <w:rFonts w:hint="eastAsia" w:ascii="宋体" w:hAnsi="宋体"/>
          <w:b/>
          <w:color w:val="auto"/>
          <w:szCs w:val="21"/>
          <w:lang w:eastAsia="zh-CN"/>
        </w:rPr>
        <w:t>不可抗力</w:t>
      </w:r>
      <w:bookmarkEnd w:id="497"/>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9.1 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9.2 受阻一方应在不可抗力事件发生后，尽快用电报、传真或电传通知对方，并于事件发生后5天内将有关部门出具的证明文件用特快专递或挂号信寄给对方审阅确认。一旦不可抗力事件的影响持续60天以上，双方应通过友好协商在合理的时间内达成进一步履行合同的协议或解除合同。</w:t>
      </w:r>
    </w:p>
    <w:p>
      <w:pPr>
        <w:numPr>
          <w:ilvl w:val="0"/>
          <w:numId w:val="0"/>
        </w:numPr>
        <w:spacing w:before="180" w:line="360" w:lineRule="auto"/>
        <w:ind w:leftChars="0"/>
        <w:outlineLvl w:val="1"/>
        <w:rPr>
          <w:rFonts w:hint="eastAsia" w:ascii="宋体" w:hAnsi="宋体"/>
          <w:b/>
          <w:color w:val="auto"/>
          <w:szCs w:val="21"/>
          <w:lang w:val="en-US" w:eastAsia="zh-CN"/>
        </w:rPr>
      </w:pPr>
      <w:bookmarkStart w:id="498" w:name="_Toc7968"/>
      <w:r>
        <w:rPr>
          <w:rFonts w:hint="eastAsia" w:ascii="宋体" w:hAnsi="宋体"/>
          <w:b/>
          <w:color w:val="auto"/>
          <w:szCs w:val="21"/>
          <w:lang w:val="en-US" w:eastAsia="zh-CN"/>
        </w:rPr>
        <w:t>十、争议及解决办法</w:t>
      </w:r>
      <w:bookmarkEnd w:id="498"/>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10.1 本合同发生争议，由双方协商或由政府采购监督管理部门调解解决，协商或调解不成时按以下第1种方式解决：</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 xml:space="preserve">  10.1.1 向广州仲裁委员会申请仲裁；</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 xml:space="preserve">  10.1.2 向甲方所在地人民法院提起诉讼。</w:t>
      </w:r>
    </w:p>
    <w:p>
      <w:pPr>
        <w:numPr>
          <w:ilvl w:val="0"/>
          <w:numId w:val="0"/>
        </w:numPr>
        <w:spacing w:before="180" w:line="360" w:lineRule="auto"/>
        <w:ind w:leftChars="0"/>
        <w:outlineLvl w:val="1"/>
        <w:rPr>
          <w:rFonts w:hint="eastAsia" w:ascii="宋体" w:hAnsi="宋体"/>
          <w:b/>
          <w:color w:val="auto"/>
          <w:szCs w:val="21"/>
          <w:lang w:val="en-US" w:eastAsia="zh-CN"/>
        </w:rPr>
      </w:pPr>
      <w:bookmarkStart w:id="499" w:name="_Toc5161"/>
      <w:r>
        <w:rPr>
          <w:rFonts w:hint="eastAsia" w:ascii="宋体" w:hAnsi="宋体"/>
          <w:b/>
          <w:color w:val="auto"/>
          <w:szCs w:val="21"/>
          <w:lang w:val="en-US" w:eastAsia="zh-CN"/>
        </w:rPr>
        <w:t>十一、法律效力</w:t>
      </w:r>
      <w:bookmarkEnd w:id="499"/>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11.1 本合同按照中华人民共和国的法律进行解释，自签订之日起生效。</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11.2 本合同之所有附件均为合同的有效组成部分，与本合同具有同样法律效力。</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11.3 在执行本合同的过程中，所有经甲乙双方签署确认的文件（包括采购订单、补充协议、传真文件、往来信函）将成为本合同的有效组成部分。</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11.4 本合同一式 叁 份，甲方执</w:t>
      </w:r>
      <w:r>
        <w:rPr>
          <w:rFonts w:hint="eastAsia"/>
          <w:kern w:val="0"/>
          <w:sz w:val="21"/>
          <w:szCs w:val="21"/>
          <w:u w:val="single"/>
          <w:lang w:val="en-US" w:eastAsia="zh-CN"/>
        </w:rPr>
        <w:t xml:space="preserve"> 贰 </w:t>
      </w:r>
      <w:r>
        <w:rPr>
          <w:rFonts w:hint="eastAsia"/>
          <w:kern w:val="0"/>
          <w:sz w:val="21"/>
          <w:szCs w:val="21"/>
          <w:lang w:val="en-US" w:eastAsia="zh-CN"/>
        </w:rPr>
        <w:t>份，乙方执</w:t>
      </w:r>
      <w:r>
        <w:rPr>
          <w:rFonts w:hint="eastAsia"/>
          <w:kern w:val="0"/>
          <w:sz w:val="21"/>
          <w:szCs w:val="21"/>
          <w:u w:val="single"/>
          <w:lang w:val="en-US" w:eastAsia="zh-CN"/>
        </w:rPr>
        <w:t xml:space="preserve"> 壹 </w:t>
      </w:r>
      <w:r>
        <w:rPr>
          <w:rFonts w:hint="eastAsia"/>
          <w:kern w:val="0"/>
          <w:sz w:val="21"/>
          <w:szCs w:val="21"/>
          <w:lang w:val="en-US" w:eastAsia="zh-CN"/>
        </w:rPr>
        <w:t>份。自双方签字盖章后生效。</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11.5 本合同未尽事宜，由双方协商处理。</w:t>
      </w:r>
    </w:p>
    <w:p>
      <w:pPr>
        <w:numPr>
          <w:ilvl w:val="0"/>
          <w:numId w:val="0"/>
        </w:numPr>
        <w:spacing w:before="180" w:line="360" w:lineRule="auto"/>
        <w:ind w:leftChars="0"/>
        <w:outlineLvl w:val="1"/>
        <w:rPr>
          <w:rFonts w:hint="eastAsia" w:ascii="宋体" w:hAnsi="宋体"/>
          <w:b/>
          <w:color w:val="auto"/>
          <w:szCs w:val="21"/>
          <w:lang w:val="en-US" w:eastAsia="zh-CN"/>
        </w:rPr>
      </w:pPr>
      <w:bookmarkStart w:id="500" w:name="_Toc15013"/>
      <w:r>
        <w:rPr>
          <w:rFonts w:hint="eastAsia" w:ascii="宋体" w:hAnsi="宋体"/>
          <w:b/>
          <w:color w:val="auto"/>
          <w:szCs w:val="21"/>
          <w:lang w:val="en-US" w:eastAsia="zh-CN"/>
        </w:rPr>
        <w:t>十二、合同附件</w:t>
      </w:r>
      <w:bookmarkEnd w:id="500"/>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12.1 附件一：采购合同知识产权补充协议</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12.2 附件二：中选通知书</w:t>
      </w:r>
    </w:p>
    <w:p>
      <w:pPr>
        <w:autoSpaceDE w:val="0"/>
        <w:autoSpaceDN w:val="0"/>
        <w:adjustRightInd w:val="0"/>
        <w:spacing w:line="360" w:lineRule="auto"/>
        <w:ind w:left="141"/>
        <w:rPr>
          <w:rFonts w:hint="eastAsia"/>
          <w:kern w:val="0"/>
          <w:sz w:val="21"/>
          <w:szCs w:val="21"/>
          <w:lang w:val="en-US" w:eastAsia="zh-CN"/>
        </w:rPr>
      </w:pPr>
      <w:r>
        <w:rPr>
          <w:rFonts w:hint="eastAsia"/>
          <w:kern w:val="0"/>
          <w:sz w:val="21"/>
          <w:szCs w:val="21"/>
          <w:lang w:val="en-US" w:eastAsia="zh-CN"/>
        </w:rPr>
        <w:t>12.3 附件三：配置清单</w:t>
      </w:r>
      <w:bookmarkEnd w:id="483"/>
      <w:bookmarkEnd w:id="484"/>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swiss"/>
    <w:pitch w:val="default"/>
    <w:sig w:usb0="00000287" w:usb1="00000003" w:usb2="00000000" w:usb3="00000000" w:csb0="2000009F" w:csb1="0000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swiss"/>
    <w:pitch w:val="default"/>
    <w:sig w:usb0="80000287" w:usb1="28C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useo Sans For Dell 300">
    <w:altName w:val="宋体"/>
    <w:panose1 w:val="00000000000000000000"/>
    <w:charset w:val="86"/>
    <w:family w:val="roman"/>
    <w:pitch w:val="default"/>
    <w:sig w:usb0="00000000" w:usb1="00000000" w:usb2="00000010" w:usb3="00000000" w:csb0="00040000" w:csb1="00000000"/>
  </w:font>
  <w:font w:name="MuseoSansForDell">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sz w:val="15"/>
        <w:szCs w:val="15"/>
      </w:rPr>
    </w:pPr>
    <w:r>
      <w:rPr>
        <w:sz w:val="15"/>
        <w:szCs w:val="15"/>
      </w:rPr>
      <mc:AlternateContent>
        <mc:Choice Requires="wps">
          <w:drawing>
            <wp:anchor distT="0" distB="0" distL="114300" distR="114300" simplePos="0" relativeHeight="251671552" behindDoc="0" locked="0" layoutInCell="1" allowOverlap="1">
              <wp:simplePos x="0" y="0"/>
              <wp:positionH relativeFrom="column">
                <wp:posOffset>1270</wp:posOffset>
              </wp:positionH>
              <wp:positionV relativeFrom="paragraph">
                <wp:posOffset>635</wp:posOffset>
              </wp:positionV>
              <wp:extent cx="5869940" cy="0"/>
              <wp:effectExtent l="0" t="0" r="0" b="0"/>
              <wp:wrapNone/>
              <wp:docPr id="6" name="直接连接符 6"/>
              <wp:cNvGraphicFramePr/>
              <a:graphic xmlns:a="http://schemas.openxmlformats.org/drawingml/2006/main">
                <a:graphicData uri="http://schemas.microsoft.com/office/word/2010/wordprocessingShape">
                  <wps:wsp>
                    <wps:cNvCnPr/>
                    <wps:spPr>
                      <a:xfrm>
                        <a:off x="854075" y="9710420"/>
                        <a:ext cx="586994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0.1pt;margin-top:0.05pt;height:0pt;width:462.2pt;z-index:251671552;mso-width-relative:page;mso-height-relative:page;" filled="f" stroked="t" coordsize="21600,21600" o:gfxdata="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9XJ59AAAAACAQAADwAAAAAAAAABACAAAAAi&#10;AAAAZHJzL2Rvd25yZXYueG1sUEsBAhQAFAAAAAgAh07iQLuGh+bZAQAAbgMAAA4AAAAAAAAAAQAg&#10;AAAAHwEAAGRycy9lMm9Eb2MueG1sUEsFBgAAAAAGAAYAWQEAAGoFAAAAAA==&#10;">
              <v:fill on="f" focussize="0,0"/>
              <v:stroke weight="0.5pt" color="#A5A5A5 [3206]" miterlimit="8" joinstyle="miter"/>
              <v:imagedata o:title=""/>
              <o:lock v:ext="edit" aspectratio="f"/>
            </v:line>
          </w:pict>
        </mc:Fallback>
      </mc:AlternateContent>
    </w:r>
    <w:r>
      <w:rPr>
        <w:rFonts w:hint="eastAsia" w:ascii="微软雅黑" w:hAnsi="微软雅黑" w:eastAsia="微软雅黑" w:cs="微软雅黑"/>
        <w:sz w:val="15"/>
        <w:szCs w:val="15"/>
      </w:rPr>
      <w:t>广州总部：广州市番禺区珠江路1号     电话：+86 (0)20-</w:t>
    </w:r>
    <w:r>
      <w:rPr>
        <w:rFonts w:hint="eastAsia" w:ascii="微软雅黑" w:hAnsi="微软雅黑" w:eastAsia="微软雅黑" w:cs="微软雅黑"/>
        <w:sz w:val="15"/>
        <w:szCs w:val="15"/>
        <w:lang w:val="en-US" w:eastAsia="zh-CN"/>
      </w:rPr>
      <w:t>31061306</w:t>
    </w:r>
    <w:r>
      <w:rPr>
        <w:rFonts w:hint="eastAsia" w:ascii="微软雅黑" w:hAnsi="微软雅黑" w:eastAsia="微软雅黑" w:cs="微软雅黑"/>
        <w:sz w:val="15"/>
        <w:szCs w:val="15"/>
      </w:rPr>
      <w:t xml:space="preserve">     传真：+86 (0)20-</w:t>
    </w:r>
    <w:r>
      <w:rPr>
        <w:rFonts w:hint="eastAsia" w:ascii="微软雅黑" w:hAnsi="微软雅黑" w:eastAsia="微软雅黑" w:cs="微软雅黑"/>
        <w:sz w:val="15"/>
        <w:szCs w:val="15"/>
        <w:lang w:val="en-US" w:eastAsia="zh-CN"/>
      </w:rPr>
      <w:t>31061306</w:t>
    </w:r>
  </w:p>
  <w:p>
    <w:pPr>
      <w:pStyle w:val="8"/>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Add: No.1, Zhujiang Road, Panyu District, Guangzhou.   Tel: +86 (0)20-</w:t>
    </w:r>
    <w:r>
      <w:rPr>
        <w:rFonts w:hint="eastAsia" w:ascii="微软雅黑" w:hAnsi="微软雅黑" w:eastAsia="微软雅黑" w:cs="微软雅黑"/>
        <w:sz w:val="15"/>
        <w:szCs w:val="15"/>
        <w:lang w:val="en-US" w:eastAsia="zh-CN"/>
      </w:rPr>
      <w:t>31061306</w:t>
    </w:r>
    <w:r>
      <w:rPr>
        <w:rFonts w:hint="eastAsia" w:ascii="微软雅黑" w:hAnsi="微软雅黑" w:eastAsia="微软雅黑" w:cs="微软雅黑"/>
        <w:sz w:val="15"/>
        <w:szCs w:val="15"/>
      </w:rPr>
      <w:t xml:space="preserve">   Fax: +86 (0)20-</w:t>
    </w:r>
    <w:r>
      <w:rPr>
        <w:rFonts w:hint="eastAsia" w:ascii="微软雅黑" w:hAnsi="微软雅黑" w:eastAsia="微软雅黑" w:cs="微软雅黑"/>
        <w:sz w:val="15"/>
        <w:szCs w:val="15"/>
        <w:lang w:val="en-US" w:eastAsia="zh-CN"/>
      </w:rPr>
      <w:t>31061306</w:t>
    </w:r>
    <w:r>
      <w:rPr>
        <w:rFonts w:hint="eastAsia" w:ascii="微软雅黑" w:hAnsi="微软雅黑" w:eastAsia="微软雅黑" w:cs="微软雅黑"/>
        <w:sz w:val="15"/>
        <w:szCs w:val="15"/>
      </w:rPr>
      <w:t xml:space="preserve">   </w:t>
    </w:r>
  </w:p>
  <w:p>
    <w:pPr>
      <w:pStyle w:val="8"/>
      <w:keepNext w:val="0"/>
      <w:keepLines w:val="0"/>
      <w:pageBreakBefore w:val="0"/>
      <w:widowControl w:val="0"/>
      <w:kinsoku/>
      <w:wordWrap/>
      <w:overflowPunct/>
      <w:topLinePunct w:val="0"/>
      <w:autoSpaceDE/>
      <w:autoSpaceDN/>
      <w:bidi w:val="0"/>
      <w:adjustRightInd/>
      <w:snapToGrid w:val="0"/>
      <w:spacing w:line="240" w:lineRule="exact"/>
      <w:jc w:val="center"/>
      <w:textAlignment w:val="auto"/>
    </w:pPr>
    <w:r>
      <w:rPr>
        <w:rFonts w:hint="eastAsia" w:ascii="微软雅黑" w:hAnsi="微软雅黑" w:eastAsia="微软雅黑" w:cs="微软雅黑"/>
        <w:sz w:val="15"/>
        <w:szCs w:val="15"/>
      </w:rPr>
      <w:t>Web: WWW.GZGJJT.CN</w:t>
    </w:r>
    <w:r>
      <w:rPr>
        <w:rFonts w:hint="eastAsia" w:ascii="微软雅黑" w:hAnsi="微软雅黑" w:eastAsia="微软雅黑" w:cs="微软雅黑"/>
        <w:sz w:val="15"/>
        <w:szCs w:val="15"/>
      </w:rPr>
      <mc:AlternateContent>
        <mc:Choice Requires="wps">
          <w:drawing>
            <wp:anchor distT="0" distB="0" distL="114300" distR="114300" simplePos="0" relativeHeight="251670528" behindDoc="0" locked="0" layoutInCell="0" allowOverlap="1">
              <wp:simplePos x="0" y="0"/>
              <wp:positionH relativeFrom="column">
                <wp:posOffset>0</wp:posOffset>
              </wp:positionH>
              <wp:positionV relativeFrom="paragraph">
                <wp:posOffset>-172720</wp:posOffset>
              </wp:positionV>
              <wp:extent cx="635" cy="0"/>
              <wp:effectExtent l="0" t="0" r="0" b="0"/>
              <wp:wrapNone/>
              <wp:docPr id="18" name="Line 1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pt;margin-top:-13.6pt;height:0pt;width:0.05pt;z-index:251670528;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F7xjNEAAAAF&#10;AQAADwAAAAAAAAABACAAAAAiAAAAZHJzL2Rvd25yZXYueG1sUEsBAhQAFAAAAAgAh07iQBZPCKax&#10;AQAAXQMAAA4AAAAAAAAAAQAgAAAAIAEAAGRycy9lMm9Eb2MueG1sUEsFBgAAAAAGAAYAWQEAAEMF&#10;AAAAAA==&#10;">
              <v:fill on="f" focussize="0,0"/>
              <v:stroke color="#000000" joinstyle="round"/>
              <v:imagedata o:title=""/>
              <o:lock v:ext="edit" aspectratio="f"/>
            </v:line>
          </w:pict>
        </mc:Fallback>
      </mc:AlternateContent>
    </w:r>
    <w:r>
      <w:rPr>
        <w:rFonts w:hint="eastAsia" w:ascii="微软雅黑" w:hAnsi="微软雅黑" w:eastAsia="微软雅黑" w:cs="微软雅黑"/>
        <w:sz w:val="15"/>
        <w:szCs w:val="15"/>
      </w:rPr>
      <w:t xml:space="preserve">   </w:t>
    </w:r>
    <w:r>
      <w:rPr>
        <w:rFonts w:hint="eastAsia"/>
        <w:sz w:val="15"/>
        <w:szCs w:val="15"/>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sz w:val="15"/>
        <w:szCs w:val="15"/>
      </w:rPr>
    </w:pPr>
    <w:r>
      <w:rPr>
        <w:sz w:val="15"/>
        <w:szCs w:val="15"/>
      </w:rPr>
      <mc:AlternateContent>
        <mc:Choice Requires="wps">
          <w:drawing>
            <wp:anchor distT="0" distB="0" distL="114300" distR="114300" simplePos="0" relativeHeight="251687936" behindDoc="0" locked="0" layoutInCell="1" allowOverlap="1">
              <wp:simplePos x="0" y="0"/>
              <wp:positionH relativeFrom="column">
                <wp:posOffset>1270</wp:posOffset>
              </wp:positionH>
              <wp:positionV relativeFrom="paragraph">
                <wp:posOffset>635</wp:posOffset>
              </wp:positionV>
              <wp:extent cx="5869940" cy="0"/>
              <wp:effectExtent l="0" t="0" r="0" b="0"/>
              <wp:wrapNone/>
              <wp:docPr id="3" name="直接连接符 3"/>
              <wp:cNvGraphicFramePr/>
              <a:graphic xmlns:a="http://schemas.openxmlformats.org/drawingml/2006/main">
                <a:graphicData uri="http://schemas.microsoft.com/office/word/2010/wordprocessingShape">
                  <wps:wsp>
                    <wps:cNvCnPr/>
                    <wps:spPr>
                      <a:xfrm>
                        <a:off x="854075" y="9710420"/>
                        <a:ext cx="586994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0.1pt;margin-top:0.05pt;height:0pt;width:462.2pt;z-index:251687936;mso-width-relative:page;mso-height-relative:page;" filled="f" stroked="t" coordsize="21600,21600" o:gfxdata="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9XJ59AAAAACAQAADwAAAAAAAAABACAAAAAi&#10;AAAAZHJzL2Rvd25yZXYueG1sUEsBAhQAFAAAAAgAh07iQHDgoQvZAQAAbgMAAA4AAAAAAAAAAQAg&#10;AAAAHwEAAGRycy9lMm9Eb2MueG1sUEsFBgAAAAAGAAYAWQEAAGoFAAAAAA==&#10;">
              <v:fill on="f" focussize="0,0"/>
              <v:stroke weight="0.5pt" color="#A5A5A5 [3206]" miterlimit="8" joinstyle="miter"/>
              <v:imagedata o:title=""/>
              <o:lock v:ext="edit" aspectratio="f"/>
            </v:line>
          </w:pict>
        </mc:Fallback>
      </mc:AlternateContent>
    </w:r>
    <w:r>
      <w:rPr>
        <w:rFonts w:hint="eastAsia" w:ascii="微软雅黑" w:hAnsi="微软雅黑" w:eastAsia="微软雅黑" w:cs="微软雅黑"/>
        <w:sz w:val="15"/>
        <w:szCs w:val="15"/>
      </w:rPr>
      <w:t>广州总部：广州市番禺区珠江路1号     电话：+86 (0)20-83655389     传真：+86 (0)20-83655389</w:t>
    </w:r>
  </w:p>
  <w:p>
    <w:pPr>
      <w:pStyle w:val="8"/>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微软雅黑" w:hAnsi="微软雅黑" w:eastAsia="微软雅黑" w:cs="微软雅黑"/>
        <w:sz w:val="15"/>
        <w:szCs w:val="15"/>
      </w:rPr>
    </w:pPr>
    <w:r>
      <w:rPr>
        <w:rFonts w:hint="eastAsia" w:ascii="微软雅黑" w:hAnsi="微软雅黑" w:eastAsia="微软雅黑" w:cs="微软雅黑"/>
        <w:sz w:val="15"/>
        <w:szCs w:val="15"/>
      </w:rPr>
      <w:t>Add: No.1, Zhujiang Road, Panyu District, Guangzhou.   Tel: +86 (0)20-83655389   Fax: +86 (0)20-83655389</w:t>
    </w:r>
  </w:p>
  <w:p>
    <w:pPr>
      <w:pStyle w:val="8"/>
      <w:jc w:val="center"/>
    </w:pPr>
    <w:r>
      <w:rPr>
        <w:rFonts w:hint="eastAsia" w:ascii="微软雅黑" w:hAnsi="微软雅黑" w:eastAsia="微软雅黑" w:cs="微软雅黑"/>
        <w:sz w:val="15"/>
        <w:szCs w:val="15"/>
      </w:rPr>
      <w:t>Web: WWW.GZGJJT.CN</w:t>
    </w:r>
    <w:r>
      <w:rPr>
        <w:rFonts w:hint="eastAsia" w:ascii="微软雅黑" w:hAnsi="微软雅黑" w:eastAsia="微软雅黑" w:cs="微软雅黑"/>
        <w:sz w:val="15"/>
        <w:szCs w:val="15"/>
      </w:rPr>
      <mc:AlternateContent>
        <mc:Choice Requires="wps">
          <w:drawing>
            <wp:anchor distT="0" distB="0" distL="114300" distR="114300" simplePos="0" relativeHeight="251686912" behindDoc="0" locked="0" layoutInCell="0" allowOverlap="1">
              <wp:simplePos x="0" y="0"/>
              <wp:positionH relativeFrom="column">
                <wp:posOffset>0</wp:posOffset>
              </wp:positionH>
              <wp:positionV relativeFrom="paragraph">
                <wp:posOffset>-172720</wp:posOffset>
              </wp:positionV>
              <wp:extent cx="635" cy="0"/>
              <wp:effectExtent l="0" t="0" r="0" b="0"/>
              <wp:wrapNone/>
              <wp:docPr id="7" name="Line 1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pt;margin-top:-13.6pt;height:0pt;width:0.05pt;z-index:251686912;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F7xjNEAAAAF&#10;AQAADwAAAAAAAAABACAAAAAiAAAAZHJzL2Rvd25yZXYueG1sUEsBAhQAFAAAAAgAh07iQKY6Yv+x&#10;AQAAXAMAAA4AAAAAAAAAAQAgAAAAIAEAAGRycy9lMm9Eb2MueG1sUEsFBgAAAAAGAAYAWQEAAEMF&#10;A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72576" behindDoc="0" locked="0" layoutInCell="1" allowOverlap="1">
              <wp:simplePos x="0" y="0"/>
              <wp:positionH relativeFrom="margin">
                <wp:posOffset>4856480</wp:posOffset>
              </wp:positionH>
              <wp:positionV relativeFrom="paragraph">
                <wp:posOffset>238125</wp:posOffset>
              </wp:positionV>
              <wp:extent cx="10160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016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2.4pt;margin-top:18.75pt;height:144pt;width:80pt;mso-position-horizontal-relative:margin;z-index:251672576;mso-width-relative:page;mso-height-relative:page;" filled="f" stroked="f" coordsize="21600,21600" o:gfxdata="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9P+h9gAAAAKAQAA&#10;DwAAAAAAAAABACAAAAAiAAAAZHJzL2Rvd25yZXYueG1sUEsBAhQAFAAAAAgAh07iQNrgOzAZAgAA&#10;FwQAAA4AAAAAAAAAAQAgAAAAJwEAAGRycy9lMm9Eb2MueG1sUEsFBgAAAAAGAAYAWQEAALIFAAAA&#10;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r>
      <w:drawing>
        <wp:inline distT="0" distB="0" distL="114300" distR="114300">
          <wp:extent cx="1799590" cy="391160"/>
          <wp:effectExtent l="0" t="0" r="10160" b="8890"/>
          <wp:docPr id="4"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sz w:val="18"/>
      </w:rPr>
      <mc:AlternateContent>
        <mc:Choice Requires="wps">
          <w:drawing>
            <wp:anchor distT="0" distB="0" distL="114300" distR="114300" simplePos="0" relativeHeight="251688960" behindDoc="0" locked="0" layoutInCell="1" allowOverlap="1">
              <wp:simplePos x="0" y="0"/>
              <wp:positionH relativeFrom="margin">
                <wp:posOffset>4856480</wp:posOffset>
              </wp:positionH>
              <wp:positionV relativeFrom="paragraph">
                <wp:posOffset>238125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41</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2.4pt;margin-top:18.75pt;height:144pt;width:144pt;mso-position-horizontal-relative:margin;mso-wrap-style:none;z-index:251688960;mso-width-relative:page;mso-height-relative:page;" filled="f" stroked="f" coordsize="21600,21600" o:gfxdata="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jvLHzXAAAACwEAAA8AAAAA&#10;AAAAAQAgAAAAIgAAAGRycy9kb3ducmV2LnhtbFBLAQIUABQAAAAIAIdO4kAjyxTwFQIAABMEAAAO&#10;AAAAAAAAAAEAIAAAACYBAABkcnMvZTJvRG9jLnhtbFBLBQYAAAAABgAGAFkBAACt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41</w:t>
                    </w:r>
                    <w:r>
                      <w:rPr>
                        <w:rFonts w:hint="eastAsia"/>
                        <w:sz w:val="18"/>
                        <w:lang w:eastAsia="zh-CN"/>
                      </w:rPr>
                      <w:fldChar w:fldCharType="end"/>
                    </w:r>
                    <w:r>
                      <w:rPr>
                        <w:rFonts w:hint="eastAsia"/>
                        <w:sz w:val="18"/>
                        <w:lang w:eastAsia="zh-CN"/>
                      </w:rPr>
                      <w:t xml:space="preserve"> 页</w:t>
                    </w:r>
                  </w:p>
                </w:txbxContent>
              </v:textbox>
            </v:shape>
          </w:pict>
        </mc:Fallback>
      </mc:AlternateContent>
    </w:r>
  </w:p>
  <w:p>
    <w:pPr>
      <w:pStyle w:val="9"/>
      <w:jc w:val="left"/>
    </w:pP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9CB89"/>
    <w:multiLevelType w:val="singleLevel"/>
    <w:tmpl w:val="8F59CB89"/>
    <w:lvl w:ilvl="0" w:tentative="0">
      <w:start w:val="1"/>
      <w:numFmt w:val="chineseCounting"/>
      <w:suff w:val="space"/>
      <w:lvlText w:val="第%1章"/>
      <w:lvlJc w:val="left"/>
      <w:rPr>
        <w:rFonts w:hint="eastAsia"/>
      </w:rPr>
    </w:lvl>
  </w:abstractNum>
  <w:abstractNum w:abstractNumId="1">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AF5456"/>
    <w:multiLevelType w:val="multilevel"/>
    <w:tmpl w:val="3FAF545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534B3D6C"/>
    <w:multiLevelType w:val="multilevel"/>
    <w:tmpl w:val="534B3D6C"/>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D465795"/>
    <w:multiLevelType w:val="multilevel"/>
    <w:tmpl w:val="5D465795"/>
    <w:lvl w:ilvl="0" w:tentative="0">
      <w:start w:val="1"/>
      <w:numFmt w:val="decimal"/>
      <w:lvlText w:val="%1."/>
      <w:lvlJc w:val="left"/>
      <w:pPr>
        <w:ind w:left="425" w:leftChars="0" w:hanging="425" w:firstLineChars="0"/>
      </w:pPr>
      <w:rPr>
        <w:rFonts w:hint="default" w:ascii="宋体" w:hAnsi="宋体" w:eastAsia="宋体" w:cs="宋体"/>
      </w:rPr>
    </w:lvl>
    <w:lvl w:ilvl="1" w:tentative="0">
      <w:start w:val="1"/>
      <w:numFmt w:val="decimal"/>
      <w:lvlText w:val="%2）"/>
      <w:lvlJc w:val="left"/>
      <w:pPr>
        <w:ind w:left="420" w:leftChars="0" w:hanging="420" w:firstLineChars="0"/>
      </w:pPr>
      <w:rPr>
        <w:rFonts w:hint="default" w:ascii="宋体" w:hAnsi="宋体" w:eastAsia="宋体" w:cs="宋体"/>
        <w:b/>
      </w:rPr>
    </w:lvl>
    <w:lvl w:ilvl="2" w:tentative="0">
      <w:start w:val="1"/>
      <w:numFmt w:val="decimalEnclosedCircleChinese"/>
      <w:lvlText w:val="%3"/>
      <w:lvlJc w:val="left"/>
      <w:pPr>
        <w:ind w:left="431" w:leftChars="0" w:hanging="431" w:firstLineChars="0"/>
      </w:pPr>
      <w:rPr>
        <w:rFonts w:hint="eastAsia" w:ascii="宋体" w:hAnsi="宋体" w:eastAsia="宋体" w:cs="宋体"/>
      </w:rPr>
    </w:lvl>
    <w:lvl w:ilvl="3" w:tentative="0">
      <w:start w:val="1"/>
      <w:numFmt w:val="none"/>
      <w:lvlText w:val=""/>
      <w:lvlJc w:val="left"/>
      <w:pPr>
        <w:ind w:left="850" w:leftChars="0" w:hanging="850" w:firstLineChars="0"/>
      </w:pPr>
      <w:rPr>
        <w:rFonts w:hint="default" w:ascii="宋体" w:hAnsi="宋体" w:eastAsia="宋体" w:cs="宋体"/>
      </w:rPr>
    </w:lvl>
    <w:lvl w:ilvl="4" w:tentative="0">
      <w:start w:val="1"/>
      <w:numFmt w:val="none"/>
      <w:lvlText w:val=""/>
      <w:lvlJc w:val="left"/>
      <w:pPr>
        <w:ind w:left="991" w:leftChars="0" w:hanging="991" w:firstLineChars="0"/>
      </w:pPr>
      <w:rPr>
        <w:rFonts w:hint="default" w:ascii="宋体" w:hAnsi="宋体" w:eastAsia="宋体" w:cs="宋体"/>
      </w:rPr>
    </w:lvl>
    <w:lvl w:ilvl="5" w:tentative="0">
      <w:start w:val="1"/>
      <w:numFmt w:val="none"/>
      <w:lvlText w:val=""/>
      <w:lvlJc w:val="left"/>
      <w:pPr>
        <w:ind w:left="1134" w:leftChars="0" w:hanging="1134" w:firstLineChars="0"/>
      </w:pPr>
      <w:rPr>
        <w:rFonts w:hint="default" w:ascii="宋体" w:hAnsi="宋体" w:eastAsia="宋体" w:cs="宋体"/>
      </w:rPr>
    </w:lvl>
    <w:lvl w:ilvl="6" w:tentative="0">
      <w:start w:val="1"/>
      <w:numFmt w:val="none"/>
      <w:lvlText w:val=""/>
      <w:lvlJc w:val="left"/>
      <w:pPr>
        <w:ind w:left="1275" w:leftChars="0" w:hanging="1275" w:firstLineChars="0"/>
      </w:pPr>
      <w:rPr>
        <w:rFonts w:hint="default" w:ascii="宋体" w:hAnsi="宋体" w:eastAsia="宋体" w:cs="宋体"/>
      </w:rPr>
    </w:lvl>
    <w:lvl w:ilvl="7" w:tentative="0">
      <w:start w:val="1"/>
      <w:numFmt w:val="none"/>
      <w:lvlText w:val=""/>
      <w:lvlJc w:val="left"/>
      <w:pPr>
        <w:ind w:left="1418" w:leftChars="0" w:hanging="1418" w:firstLineChars="0"/>
      </w:pPr>
      <w:rPr>
        <w:rFonts w:hint="default" w:ascii="宋体" w:hAnsi="宋体" w:eastAsia="宋体" w:cs="宋体"/>
      </w:rPr>
    </w:lvl>
    <w:lvl w:ilvl="8" w:tentative="0">
      <w:start w:val="1"/>
      <w:numFmt w:val="none"/>
      <w:lvlText w:val=""/>
      <w:lvlJc w:val="left"/>
      <w:pPr>
        <w:ind w:left="1558" w:leftChars="0" w:hanging="1558" w:firstLineChars="0"/>
      </w:pPr>
      <w:rPr>
        <w:rFonts w:hint="default" w:ascii="宋体" w:hAnsi="宋体" w:eastAsia="宋体" w:cs="宋体"/>
      </w:rPr>
    </w:lvl>
  </w:abstractNum>
  <w:abstractNum w:abstractNumId="8">
    <w:nsid w:val="5D465977"/>
    <w:multiLevelType w:val="multilevel"/>
    <w:tmpl w:val="5D465977"/>
    <w:lvl w:ilvl="0" w:tentative="0">
      <w:start w:val="1"/>
      <w:numFmt w:val="decimal"/>
      <w:lvlText w:val="%1."/>
      <w:lvlJc w:val="left"/>
      <w:pPr>
        <w:ind w:left="425" w:leftChars="0" w:hanging="425" w:firstLineChars="0"/>
      </w:pPr>
      <w:rPr>
        <w:rFonts w:hint="default" w:ascii="宋体" w:hAnsi="宋体" w:eastAsia="宋体" w:cs="宋体"/>
      </w:rPr>
    </w:lvl>
    <w:lvl w:ilvl="1" w:tentative="0">
      <w:start w:val="1"/>
      <w:numFmt w:val="decimal"/>
      <w:lvlText w:val="%2）"/>
      <w:lvlJc w:val="left"/>
      <w:pPr>
        <w:ind w:left="420" w:leftChars="0" w:hanging="420" w:firstLineChars="0"/>
      </w:pPr>
      <w:rPr>
        <w:rFonts w:hint="default" w:ascii="宋体" w:hAnsi="宋体" w:eastAsia="宋体" w:cs="宋体"/>
        <w:b/>
      </w:rPr>
    </w:lvl>
    <w:lvl w:ilvl="2" w:tentative="0">
      <w:start w:val="1"/>
      <w:numFmt w:val="decimalEnclosedCircleChinese"/>
      <w:lvlText w:val="%3"/>
      <w:lvlJc w:val="left"/>
      <w:pPr>
        <w:ind w:left="431" w:leftChars="0" w:hanging="431" w:firstLineChars="0"/>
      </w:pPr>
      <w:rPr>
        <w:rFonts w:hint="eastAsia" w:ascii="宋体" w:hAnsi="宋体" w:eastAsia="宋体" w:cs="宋体"/>
      </w:rPr>
    </w:lvl>
    <w:lvl w:ilvl="3" w:tentative="0">
      <w:start w:val="1"/>
      <w:numFmt w:val="none"/>
      <w:lvlText w:val=""/>
      <w:lvlJc w:val="left"/>
      <w:pPr>
        <w:ind w:left="850" w:leftChars="0" w:hanging="850" w:firstLineChars="0"/>
      </w:pPr>
      <w:rPr>
        <w:rFonts w:hint="default" w:ascii="宋体" w:hAnsi="宋体" w:eastAsia="宋体" w:cs="宋体"/>
      </w:rPr>
    </w:lvl>
    <w:lvl w:ilvl="4" w:tentative="0">
      <w:start w:val="1"/>
      <w:numFmt w:val="none"/>
      <w:lvlText w:val=""/>
      <w:lvlJc w:val="left"/>
      <w:pPr>
        <w:ind w:left="991" w:leftChars="0" w:hanging="991" w:firstLineChars="0"/>
      </w:pPr>
      <w:rPr>
        <w:rFonts w:hint="default" w:ascii="宋体" w:hAnsi="宋体" w:eastAsia="宋体" w:cs="宋体"/>
      </w:rPr>
    </w:lvl>
    <w:lvl w:ilvl="5" w:tentative="0">
      <w:start w:val="1"/>
      <w:numFmt w:val="none"/>
      <w:lvlText w:val=""/>
      <w:lvlJc w:val="left"/>
      <w:pPr>
        <w:ind w:left="1134" w:leftChars="0" w:hanging="1134" w:firstLineChars="0"/>
      </w:pPr>
      <w:rPr>
        <w:rFonts w:hint="default" w:ascii="宋体" w:hAnsi="宋体" w:eastAsia="宋体" w:cs="宋体"/>
      </w:rPr>
    </w:lvl>
    <w:lvl w:ilvl="6" w:tentative="0">
      <w:start w:val="1"/>
      <w:numFmt w:val="none"/>
      <w:lvlText w:val=""/>
      <w:lvlJc w:val="left"/>
      <w:pPr>
        <w:ind w:left="1275" w:leftChars="0" w:hanging="1275" w:firstLineChars="0"/>
      </w:pPr>
      <w:rPr>
        <w:rFonts w:hint="default" w:ascii="宋体" w:hAnsi="宋体" w:eastAsia="宋体" w:cs="宋体"/>
      </w:rPr>
    </w:lvl>
    <w:lvl w:ilvl="7" w:tentative="0">
      <w:start w:val="1"/>
      <w:numFmt w:val="none"/>
      <w:lvlText w:val=""/>
      <w:lvlJc w:val="left"/>
      <w:pPr>
        <w:ind w:left="1418" w:leftChars="0" w:hanging="1418" w:firstLineChars="0"/>
      </w:pPr>
      <w:rPr>
        <w:rFonts w:hint="default" w:ascii="宋体" w:hAnsi="宋体" w:eastAsia="宋体" w:cs="宋体"/>
      </w:rPr>
    </w:lvl>
    <w:lvl w:ilvl="8" w:tentative="0">
      <w:start w:val="1"/>
      <w:numFmt w:val="none"/>
      <w:lvlText w:val=""/>
      <w:lvlJc w:val="left"/>
      <w:pPr>
        <w:ind w:left="1558" w:leftChars="0" w:hanging="1558" w:firstLineChars="0"/>
      </w:pPr>
      <w:rPr>
        <w:rFonts w:hint="default" w:ascii="宋体" w:hAnsi="宋体" w:eastAsia="宋体" w:cs="宋体"/>
      </w:rPr>
    </w:lvl>
  </w:abstractNum>
  <w:abstractNum w:abstractNumId="9">
    <w:nsid w:val="5D465DBE"/>
    <w:multiLevelType w:val="singleLevel"/>
    <w:tmpl w:val="5D465DBE"/>
    <w:lvl w:ilvl="0" w:tentative="0">
      <w:start w:val="1"/>
      <w:numFmt w:val="chineseCounting"/>
      <w:suff w:val="nothing"/>
      <w:lvlText w:val="%1、"/>
      <w:lvlJc w:val="left"/>
      <w:pPr>
        <w:ind w:left="0" w:leftChars="0" w:firstLine="0" w:firstLineChars="0"/>
      </w:pPr>
      <w:rPr>
        <w:rFonts w:hint="eastAsia"/>
      </w:rPr>
    </w:lvl>
  </w:abstractNum>
  <w:abstractNum w:abstractNumId="10">
    <w:nsid w:val="5D465ED8"/>
    <w:multiLevelType w:val="multilevel"/>
    <w:tmpl w:val="5D465ED8"/>
    <w:lvl w:ilvl="0" w:tentative="0">
      <w:start w:val="1"/>
      <w:numFmt w:val="decimal"/>
      <w:lvlText w:val="%1."/>
      <w:lvlJc w:val="left"/>
      <w:pPr>
        <w:ind w:left="425" w:leftChars="0" w:hanging="425" w:firstLineChars="0"/>
      </w:pPr>
      <w:rPr>
        <w:rFonts w:hint="default" w:ascii="宋体" w:hAnsi="宋体" w:eastAsia="宋体" w:cs="宋体"/>
        <w:b/>
      </w:rPr>
    </w:lvl>
    <w:lvl w:ilvl="1" w:tentative="0">
      <w:start w:val="1"/>
      <w:numFmt w:val="decimal"/>
      <w:lvlText w:val="%2）"/>
      <w:lvlJc w:val="left"/>
      <w:pPr>
        <w:ind w:left="420" w:leftChars="0" w:hanging="420" w:firstLineChars="0"/>
      </w:pPr>
      <w:rPr>
        <w:rFonts w:hint="default" w:ascii="宋体" w:hAnsi="宋体" w:eastAsia="宋体" w:cs="宋体"/>
        <w:b/>
      </w:rPr>
    </w:lvl>
    <w:lvl w:ilvl="2" w:tentative="0">
      <w:start w:val="1"/>
      <w:numFmt w:val="decimalEnclosedCircleChinese"/>
      <w:lvlText w:val="%3"/>
      <w:lvlJc w:val="left"/>
      <w:pPr>
        <w:ind w:left="431" w:leftChars="0" w:hanging="431" w:firstLineChars="0"/>
      </w:pPr>
      <w:rPr>
        <w:rFonts w:hint="eastAsia" w:ascii="宋体" w:hAnsi="宋体" w:eastAsia="宋体" w:cs="宋体"/>
      </w:rPr>
    </w:lvl>
    <w:lvl w:ilvl="3" w:tentative="0">
      <w:start w:val="1"/>
      <w:numFmt w:val="none"/>
      <w:lvlText w:val=""/>
      <w:lvlJc w:val="left"/>
      <w:pPr>
        <w:ind w:left="850" w:leftChars="0" w:hanging="850" w:firstLineChars="0"/>
      </w:pPr>
      <w:rPr>
        <w:rFonts w:hint="default" w:ascii="宋体" w:hAnsi="宋体" w:eastAsia="宋体" w:cs="宋体"/>
      </w:rPr>
    </w:lvl>
    <w:lvl w:ilvl="4" w:tentative="0">
      <w:start w:val="1"/>
      <w:numFmt w:val="none"/>
      <w:lvlText w:val=""/>
      <w:lvlJc w:val="left"/>
      <w:pPr>
        <w:ind w:left="991" w:leftChars="0" w:hanging="991" w:firstLineChars="0"/>
      </w:pPr>
      <w:rPr>
        <w:rFonts w:hint="default" w:ascii="宋体" w:hAnsi="宋体" w:eastAsia="宋体" w:cs="宋体"/>
      </w:rPr>
    </w:lvl>
    <w:lvl w:ilvl="5" w:tentative="0">
      <w:start w:val="1"/>
      <w:numFmt w:val="none"/>
      <w:lvlText w:val=""/>
      <w:lvlJc w:val="left"/>
      <w:pPr>
        <w:ind w:left="1134" w:leftChars="0" w:hanging="1134" w:firstLineChars="0"/>
      </w:pPr>
      <w:rPr>
        <w:rFonts w:hint="default" w:ascii="宋体" w:hAnsi="宋体" w:eastAsia="宋体" w:cs="宋体"/>
      </w:rPr>
    </w:lvl>
    <w:lvl w:ilvl="6" w:tentative="0">
      <w:start w:val="1"/>
      <w:numFmt w:val="none"/>
      <w:lvlText w:val=""/>
      <w:lvlJc w:val="left"/>
      <w:pPr>
        <w:ind w:left="1275" w:leftChars="0" w:hanging="1275" w:firstLineChars="0"/>
      </w:pPr>
      <w:rPr>
        <w:rFonts w:hint="default" w:ascii="宋体" w:hAnsi="宋体" w:eastAsia="宋体" w:cs="宋体"/>
      </w:rPr>
    </w:lvl>
    <w:lvl w:ilvl="7" w:tentative="0">
      <w:start w:val="1"/>
      <w:numFmt w:val="none"/>
      <w:lvlText w:val=""/>
      <w:lvlJc w:val="left"/>
      <w:pPr>
        <w:ind w:left="1418" w:leftChars="0" w:hanging="1418" w:firstLineChars="0"/>
      </w:pPr>
      <w:rPr>
        <w:rFonts w:hint="default" w:ascii="宋体" w:hAnsi="宋体" w:eastAsia="宋体" w:cs="宋体"/>
      </w:rPr>
    </w:lvl>
    <w:lvl w:ilvl="8" w:tentative="0">
      <w:start w:val="1"/>
      <w:numFmt w:val="none"/>
      <w:lvlText w:val=""/>
      <w:lvlJc w:val="left"/>
      <w:pPr>
        <w:ind w:left="1558" w:leftChars="0" w:hanging="1558" w:firstLineChars="0"/>
      </w:pPr>
      <w:rPr>
        <w:rFonts w:hint="default" w:ascii="宋体" w:hAnsi="宋体" w:eastAsia="宋体" w:cs="宋体"/>
      </w:rPr>
    </w:lvl>
  </w:abstractNum>
  <w:abstractNum w:abstractNumId="11">
    <w:nsid w:val="5D466061"/>
    <w:multiLevelType w:val="multilevel"/>
    <w:tmpl w:val="5D466061"/>
    <w:lvl w:ilvl="0" w:tentative="0">
      <w:start w:val="1"/>
      <w:numFmt w:val="decimal"/>
      <w:lvlText w:val="%1."/>
      <w:lvlJc w:val="left"/>
      <w:pPr>
        <w:ind w:left="425" w:leftChars="0" w:hanging="425" w:firstLineChars="0"/>
      </w:pPr>
      <w:rPr>
        <w:rFonts w:hint="default" w:ascii="宋体" w:hAnsi="宋体" w:eastAsia="宋体" w:cs="宋体"/>
        <w:b/>
      </w:rPr>
    </w:lvl>
    <w:lvl w:ilvl="1" w:tentative="0">
      <w:start w:val="1"/>
      <w:numFmt w:val="decimal"/>
      <w:lvlText w:val="%2）"/>
      <w:lvlJc w:val="left"/>
      <w:pPr>
        <w:ind w:left="420" w:leftChars="0" w:hanging="420" w:firstLineChars="0"/>
      </w:pPr>
      <w:rPr>
        <w:rFonts w:hint="default" w:ascii="宋体" w:hAnsi="宋体" w:eastAsia="宋体" w:cs="宋体"/>
        <w:b/>
      </w:rPr>
    </w:lvl>
    <w:lvl w:ilvl="2" w:tentative="0">
      <w:start w:val="1"/>
      <w:numFmt w:val="decimalEnclosedCircleChinese"/>
      <w:lvlText w:val="%3"/>
      <w:lvlJc w:val="left"/>
      <w:pPr>
        <w:ind w:left="431" w:leftChars="0" w:hanging="431" w:firstLineChars="0"/>
      </w:pPr>
      <w:rPr>
        <w:rFonts w:hint="eastAsia" w:ascii="宋体" w:hAnsi="宋体" w:eastAsia="宋体" w:cs="宋体"/>
      </w:rPr>
    </w:lvl>
    <w:lvl w:ilvl="3" w:tentative="0">
      <w:start w:val="1"/>
      <w:numFmt w:val="none"/>
      <w:lvlText w:val=""/>
      <w:lvlJc w:val="left"/>
      <w:pPr>
        <w:ind w:left="850" w:leftChars="0" w:hanging="850" w:firstLineChars="0"/>
      </w:pPr>
      <w:rPr>
        <w:rFonts w:hint="default" w:ascii="宋体" w:hAnsi="宋体" w:eastAsia="宋体" w:cs="宋体"/>
      </w:rPr>
    </w:lvl>
    <w:lvl w:ilvl="4" w:tentative="0">
      <w:start w:val="1"/>
      <w:numFmt w:val="none"/>
      <w:lvlText w:val=""/>
      <w:lvlJc w:val="left"/>
      <w:pPr>
        <w:ind w:left="991" w:leftChars="0" w:hanging="991" w:firstLineChars="0"/>
      </w:pPr>
      <w:rPr>
        <w:rFonts w:hint="default" w:ascii="宋体" w:hAnsi="宋体" w:eastAsia="宋体" w:cs="宋体"/>
      </w:rPr>
    </w:lvl>
    <w:lvl w:ilvl="5" w:tentative="0">
      <w:start w:val="1"/>
      <w:numFmt w:val="none"/>
      <w:lvlText w:val=""/>
      <w:lvlJc w:val="left"/>
      <w:pPr>
        <w:ind w:left="1134" w:leftChars="0" w:hanging="1134" w:firstLineChars="0"/>
      </w:pPr>
      <w:rPr>
        <w:rFonts w:hint="default" w:ascii="宋体" w:hAnsi="宋体" w:eastAsia="宋体" w:cs="宋体"/>
      </w:rPr>
    </w:lvl>
    <w:lvl w:ilvl="6" w:tentative="0">
      <w:start w:val="1"/>
      <w:numFmt w:val="none"/>
      <w:lvlText w:val=""/>
      <w:lvlJc w:val="left"/>
      <w:pPr>
        <w:ind w:left="1275" w:leftChars="0" w:hanging="1275" w:firstLineChars="0"/>
      </w:pPr>
      <w:rPr>
        <w:rFonts w:hint="default" w:ascii="宋体" w:hAnsi="宋体" w:eastAsia="宋体" w:cs="宋体"/>
      </w:rPr>
    </w:lvl>
    <w:lvl w:ilvl="7" w:tentative="0">
      <w:start w:val="1"/>
      <w:numFmt w:val="none"/>
      <w:lvlText w:val=""/>
      <w:lvlJc w:val="left"/>
      <w:pPr>
        <w:ind w:left="1418" w:leftChars="0" w:hanging="1418" w:firstLineChars="0"/>
      </w:pPr>
      <w:rPr>
        <w:rFonts w:hint="default" w:ascii="宋体" w:hAnsi="宋体" w:eastAsia="宋体" w:cs="宋体"/>
      </w:rPr>
    </w:lvl>
    <w:lvl w:ilvl="8" w:tentative="0">
      <w:start w:val="1"/>
      <w:numFmt w:val="none"/>
      <w:lvlText w:val=""/>
      <w:lvlJc w:val="left"/>
      <w:pPr>
        <w:ind w:left="1558" w:leftChars="0" w:hanging="1558" w:firstLineChars="0"/>
      </w:pPr>
      <w:rPr>
        <w:rFonts w:hint="default" w:ascii="宋体" w:hAnsi="宋体" w:eastAsia="宋体" w:cs="宋体"/>
      </w:rPr>
    </w:lvl>
  </w:abstractNum>
  <w:abstractNum w:abstractNumId="12">
    <w:nsid w:val="5D46658A"/>
    <w:multiLevelType w:val="multilevel"/>
    <w:tmpl w:val="5D46658A"/>
    <w:lvl w:ilvl="0" w:tentative="0">
      <w:start w:val="1"/>
      <w:numFmt w:val="chineseCounting"/>
      <w:suff w:val="nothing"/>
      <w:lvlText w:val="%1、"/>
      <w:lvlJc w:val="left"/>
      <w:pPr>
        <w:tabs>
          <w:tab w:val="left" w:pos="0"/>
        </w:tabs>
        <w:ind w:left="0" w:leftChars="0" w:firstLine="0" w:firstLineChars="0"/>
      </w:pPr>
      <w:rPr>
        <w:rFonts w:hint="eastAsia" w:ascii="宋体" w:hAnsi="宋体" w:eastAsia="宋体" w:cs="宋体"/>
        <w:b/>
        <w:sz w:val="21"/>
      </w:rPr>
    </w:lvl>
    <w:lvl w:ilvl="1" w:tentative="0">
      <w:start w:val="1"/>
      <w:numFmt w:val="chineseCounting"/>
      <w:pStyle w:val="4"/>
      <w:suff w:val="nothing"/>
      <w:lvlText w:val="（%2）"/>
      <w:lvlJc w:val="left"/>
      <w:pPr>
        <w:ind w:left="0" w:leftChars="0" w:firstLine="0" w:firstLineChars="0"/>
      </w:pPr>
      <w:rPr>
        <w:rFonts w:hint="eastAsia" w:ascii="宋体" w:hAnsi="宋体" w:eastAsia="宋体" w:cs="宋体"/>
        <w:b/>
        <w:sz w:val="21"/>
      </w:rPr>
    </w:lvl>
    <w:lvl w:ilvl="2" w:tentative="0">
      <w:start w:val="1"/>
      <w:numFmt w:val="decimal"/>
      <w:suff w:val="nothing"/>
      <w:lvlText w:val="%3．"/>
      <w:lvlJc w:val="left"/>
      <w:pPr>
        <w:ind w:left="0" w:leftChars="0" w:firstLine="400" w:firstLineChars="0"/>
      </w:pPr>
      <w:rPr>
        <w:rFonts w:hint="eastAsia" w:ascii="宋体" w:hAnsi="宋体" w:eastAsia="宋体" w:cs="宋体"/>
        <w:b/>
        <w:sz w:val="21"/>
      </w:rPr>
    </w:lvl>
    <w:lvl w:ilvl="3" w:tentative="0">
      <w:start w:val="1"/>
      <w:numFmt w:val="decimal"/>
      <w:suff w:val="nothing"/>
      <w:lvlText w:val="%4）"/>
      <w:lvlJc w:val="left"/>
      <w:pPr>
        <w:ind w:left="0" w:leftChars="0" w:firstLine="402" w:firstLineChars="0"/>
      </w:pPr>
      <w:rPr>
        <w:rFonts w:hint="eastAsia" w:ascii="宋体" w:hAnsi="宋体" w:eastAsia="宋体" w:cs="宋体"/>
        <w:b/>
        <w:sz w:val="21"/>
      </w:rPr>
    </w:lvl>
    <w:lvl w:ilvl="4" w:tentative="0">
      <w:start w:val="1"/>
      <w:numFmt w:val="decimalEnclosedCircleChinese"/>
      <w:suff w:val="nothing"/>
      <w:lvlText w:val="%5"/>
      <w:lvlJc w:val="left"/>
      <w:pPr>
        <w:ind w:left="0" w:leftChars="0" w:firstLine="402" w:firstLineChars="0"/>
      </w:pPr>
      <w:rPr>
        <w:rFonts w:hint="eastAsia" w:ascii="宋体" w:hAnsi="宋体" w:eastAsia="宋体" w:cs="宋体"/>
        <w:b/>
        <w:sz w:val="21"/>
      </w:rPr>
    </w:lvl>
    <w:lvl w:ilvl="5" w:tentative="0">
      <w:start w:val="1"/>
      <w:numFmt w:val="none"/>
      <w:suff w:val="nothing"/>
      <w:lvlText w:val=""/>
      <w:lvlJc w:val="left"/>
      <w:pPr>
        <w:ind w:left="0" w:leftChars="0" w:firstLine="402" w:firstLineChars="0"/>
      </w:pPr>
      <w:rPr>
        <w:rFonts w:hint="eastAsia" w:ascii="宋体" w:hAnsi="宋体" w:eastAsia="宋体" w:cs="宋体"/>
      </w:rPr>
    </w:lvl>
    <w:lvl w:ilvl="6" w:tentative="0">
      <w:start w:val="1"/>
      <w:numFmt w:val="none"/>
      <w:suff w:val="nothing"/>
      <w:lvlText w:val=""/>
      <w:lvlJc w:val="left"/>
      <w:pPr>
        <w:ind w:left="0" w:leftChars="0" w:firstLine="402" w:firstLineChars="0"/>
      </w:pPr>
      <w:rPr>
        <w:rFonts w:hint="eastAsia" w:ascii="宋体" w:hAnsi="宋体" w:eastAsia="宋体" w:cs="宋体"/>
      </w:rPr>
    </w:lvl>
    <w:lvl w:ilvl="7" w:tentative="0">
      <w:start w:val="1"/>
      <w:numFmt w:val="none"/>
      <w:suff w:val="nothing"/>
      <w:lvlText w:val=""/>
      <w:lvlJc w:val="left"/>
      <w:pPr>
        <w:ind w:left="0" w:leftChars="0" w:firstLine="402" w:firstLineChars="0"/>
      </w:pPr>
      <w:rPr>
        <w:rFonts w:hint="eastAsia" w:ascii="宋体" w:hAnsi="宋体" w:eastAsia="宋体" w:cs="宋体"/>
      </w:rPr>
    </w:lvl>
    <w:lvl w:ilvl="8" w:tentative="0">
      <w:start w:val="1"/>
      <w:numFmt w:val="none"/>
      <w:suff w:val="nothing"/>
      <w:lvlText w:val=""/>
      <w:lvlJc w:val="left"/>
      <w:pPr>
        <w:ind w:left="0" w:leftChars="0" w:firstLine="402" w:firstLineChars="0"/>
      </w:pPr>
      <w:rPr>
        <w:rFonts w:hint="eastAsia" w:ascii="宋体" w:hAnsi="宋体" w:eastAsia="宋体" w:cs="宋体"/>
      </w:rPr>
    </w:lvl>
  </w:abstractNum>
  <w:abstractNum w:abstractNumId="13">
    <w:nsid w:val="5D466686"/>
    <w:multiLevelType w:val="multilevel"/>
    <w:tmpl w:val="5D466686"/>
    <w:lvl w:ilvl="0" w:tentative="0">
      <w:start w:val="1"/>
      <w:numFmt w:val="decimal"/>
      <w:lvlText w:val="%1."/>
      <w:lvlJc w:val="left"/>
      <w:pPr>
        <w:ind w:left="425" w:leftChars="0" w:hanging="425" w:firstLineChars="0"/>
      </w:pPr>
      <w:rPr>
        <w:rFonts w:hint="default" w:ascii="宋体" w:hAnsi="宋体" w:eastAsia="宋体" w:cs="宋体"/>
        <w:b/>
      </w:rPr>
    </w:lvl>
    <w:lvl w:ilvl="1" w:tentative="0">
      <w:start w:val="1"/>
      <w:numFmt w:val="decimal"/>
      <w:lvlText w:val="%2）"/>
      <w:lvlJc w:val="left"/>
      <w:pPr>
        <w:ind w:left="283" w:leftChars="0" w:hanging="283" w:firstLineChars="0"/>
      </w:pPr>
      <w:rPr>
        <w:rFonts w:hint="default" w:ascii="宋体" w:hAnsi="宋体" w:eastAsia="宋体" w:cs="宋体"/>
      </w:rPr>
    </w:lvl>
    <w:lvl w:ilvl="2" w:tentative="0">
      <w:start w:val="1"/>
      <w:numFmt w:val="decimalEnclosedCircleChinese"/>
      <w:lvlText w:val="%3"/>
      <w:lvlJc w:val="left"/>
      <w:pPr>
        <w:ind w:left="431" w:leftChars="0" w:hanging="431" w:firstLineChars="0"/>
      </w:pPr>
      <w:rPr>
        <w:rFonts w:hint="eastAsia" w:ascii="宋体" w:hAnsi="宋体" w:eastAsia="宋体" w:cs="宋体"/>
      </w:rPr>
    </w:lvl>
    <w:lvl w:ilvl="3" w:tentative="0">
      <w:start w:val="1"/>
      <w:numFmt w:val="none"/>
      <w:lvlText w:val=""/>
      <w:lvlJc w:val="left"/>
      <w:pPr>
        <w:ind w:left="850" w:leftChars="0" w:hanging="850" w:firstLineChars="0"/>
      </w:pPr>
      <w:rPr>
        <w:rFonts w:hint="default" w:ascii="宋体" w:hAnsi="宋体" w:eastAsia="宋体" w:cs="宋体"/>
      </w:rPr>
    </w:lvl>
    <w:lvl w:ilvl="4" w:tentative="0">
      <w:start w:val="1"/>
      <w:numFmt w:val="none"/>
      <w:lvlText w:val=""/>
      <w:lvlJc w:val="left"/>
      <w:pPr>
        <w:ind w:left="991" w:leftChars="0" w:hanging="991" w:firstLineChars="0"/>
      </w:pPr>
      <w:rPr>
        <w:rFonts w:hint="default" w:ascii="宋体" w:hAnsi="宋体" w:eastAsia="宋体" w:cs="宋体"/>
      </w:rPr>
    </w:lvl>
    <w:lvl w:ilvl="5" w:tentative="0">
      <w:start w:val="1"/>
      <w:numFmt w:val="none"/>
      <w:lvlText w:val=""/>
      <w:lvlJc w:val="left"/>
      <w:pPr>
        <w:ind w:left="1134" w:leftChars="0" w:hanging="1134" w:firstLineChars="0"/>
      </w:pPr>
      <w:rPr>
        <w:rFonts w:hint="default" w:ascii="宋体" w:hAnsi="宋体" w:eastAsia="宋体" w:cs="宋体"/>
      </w:rPr>
    </w:lvl>
    <w:lvl w:ilvl="6" w:tentative="0">
      <w:start w:val="1"/>
      <w:numFmt w:val="none"/>
      <w:lvlText w:val=""/>
      <w:lvlJc w:val="left"/>
      <w:pPr>
        <w:ind w:left="1275" w:leftChars="0" w:hanging="1275" w:firstLineChars="0"/>
      </w:pPr>
      <w:rPr>
        <w:rFonts w:hint="default" w:ascii="宋体" w:hAnsi="宋体" w:eastAsia="宋体" w:cs="宋体"/>
      </w:rPr>
    </w:lvl>
    <w:lvl w:ilvl="7" w:tentative="0">
      <w:start w:val="1"/>
      <w:numFmt w:val="none"/>
      <w:lvlText w:val=""/>
      <w:lvlJc w:val="left"/>
      <w:pPr>
        <w:ind w:left="1418" w:leftChars="0" w:hanging="1418" w:firstLineChars="0"/>
      </w:pPr>
      <w:rPr>
        <w:rFonts w:hint="default" w:ascii="宋体" w:hAnsi="宋体" w:eastAsia="宋体" w:cs="宋体"/>
      </w:rPr>
    </w:lvl>
    <w:lvl w:ilvl="8" w:tentative="0">
      <w:start w:val="1"/>
      <w:numFmt w:val="none"/>
      <w:lvlText w:val=""/>
      <w:lvlJc w:val="left"/>
      <w:pPr>
        <w:ind w:left="1558" w:leftChars="0" w:hanging="1558" w:firstLineChars="0"/>
      </w:pPr>
      <w:rPr>
        <w:rFonts w:hint="default" w:ascii="宋体" w:hAnsi="宋体" w:eastAsia="宋体" w:cs="宋体"/>
      </w:rPr>
    </w:lvl>
  </w:abstractNum>
  <w:abstractNum w:abstractNumId="14">
    <w:nsid w:val="5D468975"/>
    <w:multiLevelType w:val="multilevel"/>
    <w:tmpl w:val="5D468975"/>
    <w:lvl w:ilvl="0" w:tentative="0">
      <w:start w:val="1"/>
      <w:numFmt w:val="chineseCounting"/>
      <w:suff w:val="nothing"/>
      <w:lvlText w:val="%1、"/>
      <w:lvlJc w:val="left"/>
      <w:pPr>
        <w:tabs>
          <w:tab w:val="left" w:pos="0"/>
        </w:tabs>
        <w:ind w:left="0" w:leftChars="0" w:firstLine="0" w:firstLineChars="0"/>
      </w:pPr>
      <w:rPr>
        <w:rFonts w:hint="eastAsia" w:ascii="宋体" w:hAnsi="宋体" w:eastAsia="宋体" w:cs="宋体"/>
        <w:b/>
        <w:sz w:val="21"/>
      </w:rPr>
    </w:lvl>
    <w:lvl w:ilvl="1" w:tentative="0">
      <w:start w:val="1"/>
      <w:numFmt w:val="chineseCounting"/>
      <w:lvlText w:val="（%2）"/>
      <w:lvlJc w:val="left"/>
      <w:pPr>
        <w:tabs>
          <w:tab w:val="left" w:pos="420"/>
        </w:tabs>
        <w:ind w:left="0" w:leftChars="0" w:firstLine="0" w:firstLineChars="0"/>
      </w:pPr>
      <w:rPr>
        <w:rFonts w:hint="eastAsia" w:ascii="宋体" w:hAnsi="宋体" w:eastAsia="宋体" w:cs="宋体"/>
        <w:b/>
        <w:sz w:val="21"/>
      </w:rPr>
    </w:lvl>
    <w:lvl w:ilvl="2" w:tentative="0">
      <w:start w:val="1"/>
      <w:numFmt w:val="decimal"/>
      <w:lvlText w:val="%3．"/>
      <w:lvlJc w:val="left"/>
      <w:pPr>
        <w:tabs>
          <w:tab w:val="left" w:pos="397"/>
        </w:tabs>
        <w:ind w:left="397" w:leftChars="0" w:firstLine="0" w:firstLineChars="0"/>
      </w:pPr>
      <w:rPr>
        <w:rFonts w:hint="eastAsia" w:ascii="宋体" w:hAnsi="宋体" w:eastAsia="宋体" w:cs="宋体"/>
        <w:b/>
        <w:sz w:val="21"/>
      </w:rPr>
    </w:lvl>
    <w:lvl w:ilvl="3" w:tentative="0">
      <w:start w:val="1"/>
      <w:numFmt w:val="decimal"/>
      <w:lvlText w:val="%4）"/>
      <w:lvlJc w:val="left"/>
      <w:pPr>
        <w:tabs>
          <w:tab w:val="left" w:pos="420"/>
        </w:tabs>
        <w:ind w:left="0" w:leftChars="0" w:firstLine="397" w:firstLineChars="0"/>
      </w:pPr>
      <w:rPr>
        <w:rFonts w:hint="eastAsia" w:ascii="宋体" w:hAnsi="宋体" w:eastAsia="宋体" w:cs="宋体"/>
        <w:b/>
        <w:sz w:val="21"/>
      </w:rPr>
    </w:lvl>
    <w:lvl w:ilvl="4" w:tentative="0">
      <w:start w:val="1"/>
      <w:numFmt w:val="decimalEnclosedCircleChinese"/>
      <w:lvlText w:val="%5"/>
      <w:lvlJc w:val="left"/>
      <w:pPr>
        <w:tabs>
          <w:tab w:val="left" w:pos="420"/>
        </w:tabs>
        <w:ind w:left="0" w:leftChars="0" w:firstLine="402" w:firstLineChars="0"/>
      </w:pPr>
      <w:rPr>
        <w:rFonts w:hint="eastAsia" w:ascii="宋体" w:hAnsi="宋体" w:eastAsia="宋体" w:cs="宋体"/>
        <w:b/>
        <w:sz w:val="21"/>
      </w:rPr>
    </w:lvl>
    <w:lvl w:ilvl="5" w:tentative="0">
      <w:start w:val="1"/>
      <w:numFmt w:val="none"/>
      <w:suff w:val="nothing"/>
      <w:lvlText w:val=""/>
      <w:lvlJc w:val="left"/>
      <w:pPr>
        <w:ind w:left="0" w:leftChars="0" w:firstLine="402" w:firstLineChars="0"/>
      </w:pPr>
      <w:rPr>
        <w:rFonts w:hint="eastAsia" w:ascii="宋体" w:hAnsi="宋体" w:eastAsia="宋体" w:cs="宋体"/>
      </w:rPr>
    </w:lvl>
    <w:lvl w:ilvl="6" w:tentative="0">
      <w:start w:val="1"/>
      <w:numFmt w:val="none"/>
      <w:suff w:val="nothing"/>
      <w:lvlText w:val=""/>
      <w:lvlJc w:val="left"/>
      <w:pPr>
        <w:ind w:left="0" w:leftChars="0" w:firstLine="402" w:firstLineChars="0"/>
      </w:pPr>
      <w:rPr>
        <w:rFonts w:hint="eastAsia" w:ascii="宋体" w:hAnsi="宋体" w:eastAsia="宋体" w:cs="宋体"/>
      </w:rPr>
    </w:lvl>
    <w:lvl w:ilvl="7" w:tentative="0">
      <w:start w:val="1"/>
      <w:numFmt w:val="none"/>
      <w:suff w:val="nothing"/>
      <w:lvlText w:val=""/>
      <w:lvlJc w:val="left"/>
      <w:pPr>
        <w:ind w:left="0" w:leftChars="0" w:firstLine="402" w:firstLineChars="0"/>
      </w:pPr>
      <w:rPr>
        <w:rFonts w:hint="eastAsia" w:ascii="宋体" w:hAnsi="宋体" w:eastAsia="宋体" w:cs="宋体"/>
      </w:rPr>
    </w:lvl>
    <w:lvl w:ilvl="8" w:tentative="0">
      <w:start w:val="1"/>
      <w:numFmt w:val="none"/>
      <w:suff w:val="nothing"/>
      <w:lvlText w:val=""/>
      <w:lvlJc w:val="left"/>
      <w:pPr>
        <w:ind w:left="0" w:leftChars="0" w:firstLine="402" w:firstLineChars="0"/>
      </w:pPr>
      <w:rPr>
        <w:rFonts w:hint="eastAsia" w:ascii="宋体" w:hAnsi="宋体" w:eastAsia="宋体" w:cs="宋体"/>
      </w:rPr>
    </w:lvl>
  </w:abstractNum>
  <w:abstractNum w:abstractNumId="15">
    <w:nsid w:val="5D504240"/>
    <w:multiLevelType w:val="singleLevel"/>
    <w:tmpl w:val="5D504240"/>
    <w:lvl w:ilvl="0" w:tentative="0">
      <w:start w:val="1"/>
      <w:numFmt w:val="decimal"/>
      <w:lvlText w:val="%1."/>
      <w:lvlJc w:val="left"/>
      <w:pPr>
        <w:ind w:left="425" w:leftChars="0" w:hanging="425" w:firstLineChars="0"/>
      </w:pPr>
      <w:rPr>
        <w:rFonts w:hint="default"/>
      </w:rPr>
    </w:lvl>
  </w:abstractNum>
  <w:abstractNum w:abstractNumId="16">
    <w:nsid w:val="5D6B3A4F"/>
    <w:multiLevelType w:val="multilevel"/>
    <w:tmpl w:val="5D6B3A4F"/>
    <w:lvl w:ilvl="0" w:tentative="0">
      <w:start w:val="1"/>
      <w:numFmt w:val="decimal"/>
      <w:lvlText w:val="%1."/>
      <w:lvlJc w:val="left"/>
      <w:pPr>
        <w:ind w:left="425" w:leftChars="0" w:hanging="425" w:firstLineChars="0"/>
      </w:pPr>
      <w:rPr>
        <w:rFonts w:hint="default" w:ascii="宋体" w:hAnsi="宋体" w:eastAsia="宋体" w:cs="宋体"/>
        <w:b/>
      </w:rPr>
    </w:lvl>
    <w:lvl w:ilvl="1" w:tentative="0">
      <w:start w:val="1"/>
      <w:numFmt w:val="decimal"/>
      <w:lvlText w:val="%2）"/>
      <w:lvlJc w:val="left"/>
      <w:pPr>
        <w:ind w:left="420" w:leftChars="0" w:hanging="420" w:firstLineChars="0"/>
      </w:pPr>
      <w:rPr>
        <w:rFonts w:hint="default" w:ascii="宋体" w:hAnsi="宋体" w:eastAsia="宋体" w:cs="宋体"/>
        <w:b/>
      </w:rPr>
    </w:lvl>
    <w:lvl w:ilvl="2" w:tentative="0">
      <w:start w:val="1"/>
      <w:numFmt w:val="decimalEnclosedCircleChinese"/>
      <w:lvlText w:val="%3"/>
      <w:lvlJc w:val="left"/>
      <w:pPr>
        <w:ind w:left="431" w:leftChars="0" w:hanging="431" w:firstLineChars="0"/>
      </w:pPr>
      <w:rPr>
        <w:rFonts w:hint="eastAsia" w:ascii="宋体" w:hAnsi="宋体" w:eastAsia="宋体" w:cs="宋体"/>
      </w:rPr>
    </w:lvl>
    <w:lvl w:ilvl="3" w:tentative="0">
      <w:start w:val="1"/>
      <w:numFmt w:val="none"/>
      <w:lvlText w:val=""/>
      <w:lvlJc w:val="left"/>
      <w:pPr>
        <w:ind w:left="850" w:leftChars="0" w:hanging="850" w:firstLineChars="0"/>
      </w:pPr>
      <w:rPr>
        <w:rFonts w:hint="default" w:ascii="宋体" w:hAnsi="宋体" w:eastAsia="宋体" w:cs="宋体"/>
      </w:rPr>
    </w:lvl>
    <w:lvl w:ilvl="4" w:tentative="0">
      <w:start w:val="1"/>
      <w:numFmt w:val="none"/>
      <w:lvlText w:val=""/>
      <w:lvlJc w:val="left"/>
      <w:pPr>
        <w:ind w:left="991" w:leftChars="0" w:hanging="991" w:firstLineChars="0"/>
      </w:pPr>
      <w:rPr>
        <w:rFonts w:hint="default" w:ascii="宋体" w:hAnsi="宋体" w:eastAsia="宋体" w:cs="宋体"/>
      </w:rPr>
    </w:lvl>
    <w:lvl w:ilvl="5" w:tentative="0">
      <w:start w:val="1"/>
      <w:numFmt w:val="none"/>
      <w:lvlText w:val=""/>
      <w:lvlJc w:val="left"/>
      <w:pPr>
        <w:ind w:left="1134" w:leftChars="0" w:hanging="1134" w:firstLineChars="0"/>
      </w:pPr>
      <w:rPr>
        <w:rFonts w:hint="default" w:ascii="宋体" w:hAnsi="宋体" w:eastAsia="宋体" w:cs="宋体"/>
      </w:rPr>
    </w:lvl>
    <w:lvl w:ilvl="6" w:tentative="0">
      <w:start w:val="1"/>
      <w:numFmt w:val="none"/>
      <w:lvlText w:val=""/>
      <w:lvlJc w:val="left"/>
      <w:pPr>
        <w:ind w:left="1275" w:leftChars="0" w:hanging="1275" w:firstLineChars="0"/>
      </w:pPr>
      <w:rPr>
        <w:rFonts w:hint="default" w:ascii="宋体" w:hAnsi="宋体" w:eastAsia="宋体" w:cs="宋体"/>
      </w:rPr>
    </w:lvl>
    <w:lvl w:ilvl="7" w:tentative="0">
      <w:start w:val="1"/>
      <w:numFmt w:val="none"/>
      <w:lvlText w:val=""/>
      <w:lvlJc w:val="left"/>
      <w:pPr>
        <w:ind w:left="1418" w:leftChars="0" w:hanging="1418" w:firstLineChars="0"/>
      </w:pPr>
      <w:rPr>
        <w:rFonts w:hint="default" w:ascii="宋体" w:hAnsi="宋体" w:eastAsia="宋体" w:cs="宋体"/>
      </w:rPr>
    </w:lvl>
    <w:lvl w:ilvl="8" w:tentative="0">
      <w:start w:val="1"/>
      <w:numFmt w:val="none"/>
      <w:lvlText w:val=""/>
      <w:lvlJc w:val="left"/>
      <w:pPr>
        <w:ind w:left="1558" w:leftChars="0" w:hanging="1558" w:firstLineChars="0"/>
      </w:pPr>
      <w:rPr>
        <w:rFonts w:hint="default" w:ascii="宋体" w:hAnsi="宋体" w:eastAsia="宋体" w:cs="宋体"/>
      </w:rPr>
    </w:lvl>
  </w:abstractNum>
  <w:abstractNum w:abstractNumId="17">
    <w:nsid w:val="5DAB1987"/>
    <w:multiLevelType w:val="singleLevel"/>
    <w:tmpl w:val="5DAB1987"/>
    <w:lvl w:ilvl="0" w:tentative="0">
      <w:start w:val="1"/>
      <w:numFmt w:val="decimal"/>
      <w:suff w:val="space"/>
      <w:lvlText w:val="%1."/>
      <w:lvlJc w:val="left"/>
    </w:lvl>
  </w:abstractNum>
  <w:abstractNum w:abstractNumId="18">
    <w:nsid w:val="5DABD5AB"/>
    <w:multiLevelType w:val="singleLevel"/>
    <w:tmpl w:val="5DABD5AB"/>
    <w:lvl w:ilvl="0" w:tentative="0">
      <w:start w:val="6"/>
      <w:numFmt w:val="chineseCounting"/>
      <w:suff w:val="nothing"/>
      <w:lvlText w:val="%1、"/>
      <w:lvlJc w:val="left"/>
    </w:lvl>
  </w:abstractNum>
  <w:abstractNum w:abstractNumId="19">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355ED4"/>
    <w:multiLevelType w:val="multilevel"/>
    <w:tmpl w:val="71355ED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2"/>
  </w:num>
  <w:num w:numId="2">
    <w:abstractNumId w:val="0"/>
  </w:num>
  <w:num w:numId="3">
    <w:abstractNumId w:val="1"/>
  </w:num>
  <w:num w:numId="4">
    <w:abstractNumId w:val="10"/>
  </w:num>
  <w:num w:numId="5">
    <w:abstractNumId w:val="2"/>
  </w:num>
  <w:num w:numId="6">
    <w:abstractNumId w:val="16"/>
  </w:num>
  <w:num w:numId="7">
    <w:abstractNumId w:val="9"/>
  </w:num>
  <w:num w:numId="8">
    <w:abstractNumId w:val="11"/>
  </w:num>
  <w:num w:numId="9">
    <w:abstractNumId w:val="8"/>
  </w:num>
  <w:num w:numId="10">
    <w:abstractNumId w:val="7"/>
  </w:num>
  <w:num w:numId="11">
    <w:abstractNumId w:val="13"/>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
  </w:num>
  <w:num w:numId="16">
    <w:abstractNumId w:val="17"/>
  </w:num>
  <w:num w:numId="17">
    <w:abstractNumId w:val="1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46872"/>
    <w:rsid w:val="004247A7"/>
    <w:rsid w:val="00526D35"/>
    <w:rsid w:val="00554372"/>
    <w:rsid w:val="01362893"/>
    <w:rsid w:val="014A28CB"/>
    <w:rsid w:val="014C0EE3"/>
    <w:rsid w:val="01617F30"/>
    <w:rsid w:val="01E45C00"/>
    <w:rsid w:val="02354110"/>
    <w:rsid w:val="023623B7"/>
    <w:rsid w:val="02386209"/>
    <w:rsid w:val="024B1F09"/>
    <w:rsid w:val="02AA20CB"/>
    <w:rsid w:val="02AA2DBF"/>
    <w:rsid w:val="0314715F"/>
    <w:rsid w:val="0322279A"/>
    <w:rsid w:val="03B01FD9"/>
    <w:rsid w:val="03BA1148"/>
    <w:rsid w:val="03E45B06"/>
    <w:rsid w:val="03E6448B"/>
    <w:rsid w:val="03EE788A"/>
    <w:rsid w:val="042F3EBF"/>
    <w:rsid w:val="04513C90"/>
    <w:rsid w:val="04644122"/>
    <w:rsid w:val="049A7107"/>
    <w:rsid w:val="04DE7E8D"/>
    <w:rsid w:val="05655B4B"/>
    <w:rsid w:val="05693F50"/>
    <w:rsid w:val="05983B87"/>
    <w:rsid w:val="05BA3B80"/>
    <w:rsid w:val="05BC0C03"/>
    <w:rsid w:val="05BD7C42"/>
    <w:rsid w:val="05D146C0"/>
    <w:rsid w:val="05FB0335"/>
    <w:rsid w:val="06150A7F"/>
    <w:rsid w:val="064E0180"/>
    <w:rsid w:val="06584DB7"/>
    <w:rsid w:val="065D3D51"/>
    <w:rsid w:val="066030BF"/>
    <w:rsid w:val="067A6448"/>
    <w:rsid w:val="067F6C9C"/>
    <w:rsid w:val="06BF4B87"/>
    <w:rsid w:val="06C61E71"/>
    <w:rsid w:val="06E96419"/>
    <w:rsid w:val="0709679F"/>
    <w:rsid w:val="0747789B"/>
    <w:rsid w:val="0749636A"/>
    <w:rsid w:val="07CE7C1D"/>
    <w:rsid w:val="07F740C0"/>
    <w:rsid w:val="08170A22"/>
    <w:rsid w:val="089F6C94"/>
    <w:rsid w:val="08DE5AC4"/>
    <w:rsid w:val="09017C45"/>
    <w:rsid w:val="0915209F"/>
    <w:rsid w:val="0940580E"/>
    <w:rsid w:val="09405B75"/>
    <w:rsid w:val="094547F6"/>
    <w:rsid w:val="096434CF"/>
    <w:rsid w:val="098E788D"/>
    <w:rsid w:val="09AD2614"/>
    <w:rsid w:val="0A0C509B"/>
    <w:rsid w:val="0A0D37CB"/>
    <w:rsid w:val="0A2301C8"/>
    <w:rsid w:val="0A431BFE"/>
    <w:rsid w:val="0A682C27"/>
    <w:rsid w:val="0A6D773B"/>
    <w:rsid w:val="0A920689"/>
    <w:rsid w:val="0AC50734"/>
    <w:rsid w:val="0ADB6514"/>
    <w:rsid w:val="0B0F23B0"/>
    <w:rsid w:val="0B2C6D70"/>
    <w:rsid w:val="0B341A8B"/>
    <w:rsid w:val="0B96001A"/>
    <w:rsid w:val="0BAC0CF5"/>
    <w:rsid w:val="0BD871F1"/>
    <w:rsid w:val="0BED513E"/>
    <w:rsid w:val="0BF03E3B"/>
    <w:rsid w:val="0C1A5EDC"/>
    <w:rsid w:val="0C2C01C1"/>
    <w:rsid w:val="0C344434"/>
    <w:rsid w:val="0CAF1BDD"/>
    <w:rsid w:val="0D457705"/>
    <w:rsid w:val="0D497AAC"/>
    <w:rsid w:val="0E060983"/>
    <w:rsid w:val="0E0B13DC"/>
    <w:rsid w:val="0E0E2897"/>
    <w:rsid w:val="0E2355D4"/>
    <w:rsid w:val="0E411CCD"/>
    <w:rsid w:val="0E555CEF"/>
    <w:rsid w:val="0E991E33"/>
    <w:rsid w:val="0EAE4C5F"/>
    <w:rsid w:val="0ED25C3D"/>
    <w:rsid w:val="0F2B3093"/>
    <w:rsid w:val="0F6F703F"/>
    <w:rsid w:val="0F7B5C55"/>
    <w:rsid w:val="0FBB5975"/>
    <w:rsid w:val="10063047"/>
    <w:rsid w:val="106B6494"/>
    <w:rsid w:val="10844E5C"/>
    <w:rsid w:val="10F9610F"/>
    <w:rsid w:val="110E07FF"/>
    <w:rsid w:val="11132EC5"/>
    <w:rsid w:val="116A6AB7"/>
    <w:rsid w:val="11837013"/>
    <w:rsid w:val="119E4176"/>
    <w:rsid w:val="11E16B60"/>
    <w:rsid w:val="123F09C0"/>
    <w:rsid w:val="12416289"/>
    <w:rsid w:val="12510C8D"/>
    <w:rsid w:val="126F64F1"/>
    <w:rsid w:val="12730D36"/>
    <w:rsid w:val="12F475C6"/>
    <w:rsid w:val="133859E6"/>
    <w:rsid w:val="133B6A9E"/>
    <w:rsid w:val="138271F8"/>
    <w:rsid w:val="13B126BB"/>
    <w:rsid w:val="14166BF6"/>
    <w:rsid w:val="1428681E"/>
    <w:rsid w:val="14447FF1"/>
    <w:rsid w:val="1465535B"/>
    <w:rsid w:val="14972986"/>
    <w:rsid w:val="14B57FF6"/>
    <w:rsid w:val="14C831D0"/>
    <w:rsid w:val="151F5AC6"/>
    <w:rsid w:val="15BD699A"/>
    <w:rsid w:val="15C8506D"/>
    <w:rsid w:val="15E15C48"/>
    <w:rsid w:val="165313CA"/>
    <w:rsid w:val="16725111"/>
    <w:rsid w:val="16801B75"/>
    <w:rsid w:val="16BD29AF"/>
    <w:rsid w:val="16D22238"/>
    <w:rsid w:val="17583834"/>
    <w:rsid w:val="17606554"/>
    <w:rsid w:val="17A72234"/>
    <w:rsid w:val="17D1629E"/>
    <w:rsid w:val="18354DAB"/>
    <w:rsid w:val="18647190"/>
    <w:rsid w:val="18A30A2D"/>
    <w:rsid w:val="18FB1FB3"/>
    <w:rsid w:val="19301A1B"/>
    <w:rsid w:val="193860DF"/>
    <w:rsid w:val="196454E9"/>
    <w:rsid w:val="197F51C2"/>
    <w:rsid w:val="199A07B6"/>
    <w:rsid w:val="19DA0568"/>
    <w:rsid w:val="19F22E67"/>
    <w:rsid w:val="19F64797"/>
    <w:rsid w:val="1A401D77"/>
    <w:rsid w:val="1A491E35"/>
    <w:rsid w:val="1A4936C7"/>
    <w:rsid w:val="1A5F45D4"/>
    <w:rsid w:val="1AB93666"/>
    <w:rsid w:val="1B026113"/>
    <w:rsid w:val="1B08634D"/>
    <w:rsid w:val="1B307221"/>
    <w:rsid w:val="1B355F21"/>
    <w:rsid w:val="1B47257E"/>
    <w:rsid w:val="1B81213D"/>
    <w:rsid w:val="1B84670A"/>
    <w:rsid w:val="1B8A1F6D"/>
    <w:rsid w:val="1BBA2F3A"/>
    <w:rsid w:val="1BC1330B"/>
    <w:rsid w:val="1BD7046D"/>
    <w:rsid w:val="1BEC7E0C"/>
    <w:rsid w:val="1C170CCE"/>
    <w:rsid w:val="1C2113AE"/>
    <w:rsid w:val="1C6771D7"/>
    <w:rsid w:val="1CB160EE"/>
    <w:rsid w:val="1CCC3142"/>
    <w:rsid w:val="1D090FDC"/>
    <w:rsid w:val="1D147FDE"/>
    <w:rsid w:val="1D231A87"/>
    <w:rsid w:val="1D2E47F7"/>
    <w:rsid w:val="1D397E1A"/>
    <w:rsid w:val="1D6A2D84"/>
    <w:rsid w:val="1D7B68CC"/>
    <w:rsid w:val="1D8E65DC"/>
    <w:rsid w:val="1DCA1809"/>
    <w:rsid w:val="1DF2286E"/>
    <w:rsid w:val="1E155E47"/>
    <w:rsid w:val="1E294033"/>
    <w:rsid w:val="1E370A13"/>
    <w:rsid w:val="1E5D75FF"/>
    <w:rsid w:val="1E601B61"/>
    <w:rsid w:val="1EA9025C"/>
    <w:rsid w:val="1EAF1BD6"/>
    <w:rsid w:val="1EB22438"/>
    <w:rsid w:val="1EB369A8"/>
    <w:rsid w:val="1EBD73FF"/>
    <w:rsid w:val="1EC80200"/>
    <w:rsid w:val="1EF34D2C"/>
    <w:rsid w:val="1F222EDB"/>
    <w:rsid w:val="1F3C07E4"/>
    <w:rsid w:val="1F5A32FD"/>
    <w:rsid w:val="1F636AC8"/>
    <w:rsid w:val="1F68647D"/>
    <w:rsid w:val="1F887EB7"/>
    <w:rsid w:val="1FAE290D"/>
    <w:rsid w:val="1FCD0F4F"/>
    <w:rsid w:val="1FEC6E84"/>
    <w:rsid w:val="201075BB"/>
    <w:rsid w:val="20977E0A"/>
    <w:rsid w:val="20CD66D7"/>
    <w:rsid w:val="20CE083C"/>
    <w:rsid w:val="20E11AE2"/>
    <w:rsid w:val="215F29ED"/>
    <w:rsid w:val="21B7332F"/>
    <w:rsid w:val="222D0B17"/>
    <w:rsid w:val="2250544E"/>
    <w:rsid w:val="22DE7270"/>
    <w:rsid w:val="22FF14B4"/>
    <w:rsid w:val="2306448B"/>
    <w:rsid w:val="23130AFD"/>
    <w:rsid w:val="237078BC"/>
    <w:rsid w:val="23920E53"/>
    <w:rsid w:val="239D789C"/>
    <w:rsid w:val="23A75A30"/>
    <w:rsid w:val="23BF0025"/>
    <w:rsid w:val="23E26398"/>
    <w:rsid w:val="23F370EA"/>
    <w:rsid w:val="23FB5E48"/>
    <w:rsid w:val="240631D0"/>
    <w:rsid w:val="244C2DDB"/>
    <w:rsid w:val="245730D3"/>
    <w:rsid w:val="246C4EE0"/>
    <w:rsid w:val="25255E09"/>
    <w:rsid w:val="25625B3C"/>
    <w:rsid w:val="256C7670"/>
    <w:rsid w:val="25816AF3"/>
    <w:rsid w:val="25C1225A"/>
    <w:rsid w:val="25C347A9"/>
    <w:rsid w:val="266119C7"/>
    <w:rsid w:val="26836153"/>
    <w:rsid w:val="26AB66CF"/>
    <w:rsid w:val="26C24405"/>
    <w:rsid w:val="26D112B2"/>
    <w:rsid w:val="26D377CD"/>
    <w:rsid w:val="2815793E"/>
    <w:rsid w:val="282E31B0"/>
    <w:rsid w:val="2836010F"/>
    <w:rsid w:val="288A1BF4"/>
    <w:rsid w:val="28916DE2"/>
    <w:rsid w:val="28A23097"/>
    <w:rsid w:val="28A725D5"/>
    <w:rsid w:val="292638E1"/>
    <w:rsid w:val="295C36F8"/>
    <w:rsid w:val="295D2F15"/>
    <w:rsid w:val="298D4EE0"/>
    <w:rsid w:val="298E60FD"/>
    <w:rsid w:val="29D87DF7"/>
    <w:rsid w:val="2A4C1CE5"/>
    <w:rsid w:val="2A87562F"/>
    <w:rsid w:val="2A8A6479"/>
    <w:rsid w:val="2AA53281"/>
    <w:rsid w:val="2AE84423"/>
    <w:rsid w:val="2AFB5ECB"/>
    <w:rsid w:val="2B5B3209"/>
    <w:rsid w:val="2B683FE8"/>
    <w:rsid w:val="2B6B6763"/>
    <w:rsid w:val="2B8E3629"/>
    <w:rsid w:val="2B9777A3"/>
    <w:rsid w:val="2BC855E3"/>
    <w:rsid w:val="2BD5281F"/>
    <w:rsid w:val="2C01363A"/>
    <w:rsid w:val="2C1D1115"/>
    <w:rsid w:val="2C4B6604"/>
    <w:rsid w:val="2C5A7A4A"/>
    <w:rsid w:val="2C913D7C"/>
    <w:rsid w:val="2C943243"/>
    <w:rsid w:val="2C9519B0"/>
    <w:rsid w:val="2CBF78BB"/>
    <w:rsid w:val="2CC61F6F"/>
    <w:rsid w:val="2D2C1576"/>
    <w:rsid w:val="2E0C76EA"/>
    <w:rsid w:val="2E0D305E"/>
    <w:rsid w:val="2E163790"/>
    <w:rsid w:val="2E591D59"/>
    <w:rsid w:val="2E6B3260"/>
    <w:rsid w:val="2E6E2D0A"/>
    <w:rsid w:val="2E9A2684"/>
    <w:rsid w:val="2F4958DA"/>
    <w:rsid w:val="2F9E30E0"/>
    <w:rsid w:val="2FFC66D7"/>
    <w:rsid w:val="2FFF6E73"/>
    <w:rsid w:val="30152EB2"/>
    <w:rsid w:val="306625E5"/>
    <w:rsid w:val="30862DF9"/>
    <w:rsid w:val="30931599"/>
    <w:rsid w:val="30EE7CCD"/>
    <w:rsid w:val="30F32FC0"/>
    <w:rsid w:val="30FA2AF5"/>
    <w:rsid w:val="31332201"/>
    <w:rsid w:val="31403F9D"/>
    <w:rsid w:val="31B84BBA"/>
    <w:rsid w:val="31C30FFD"/>
    <w:rsid w:val="321A2954"/>
    <w:rsid w:val="32673D88"/>
    <w:rsid w:val="32B83E1B"/>
    <w:rsid w:val="32C3413D"/>
    <w:rsid w:val="32F21766"/>
    <w:rsid w:val="33123FB7"/>
    <w:rsid w:val="33124633"/>
    <w:rsid w:val="333E2B83"/>
    <w:rsid w:val="33CC4628"/>
    <w:rsid w:val="33D72CEA"/>
    <w:rsid w:val="33E4659C"/>
    <w:rsid w:val="34021C92"/>
    <w:rsid w:val="343426DA"/>
    <w:rsid w:val="345C124F"/>
    <w:rsid w:val="348B6ACC"/>
    <w:rsid w:val="352D74B3"/>
    <w:rsid w:val="354E0BE1"/>
    <w:rsid w:val="36094D08"/>
    <w:rsid w:val="360F2B8B"/>
    <w:rsid w:val="361F00E9"/>
    <w:rsid w:val="36705832"/>
    <w:rsid w:val="3687025F"/>
    <w:rsid w:val="36967F8B"/>
    <w:rsid w:val="36A2702A"/>
    <w:rsid w:val="36B7130C"/>
    <w:rsid w:val="36B96813"/>
    <w:rsid w:val="36CF3D7E"/>
    <w:rsid w:val="36DC0DB5"/>
    <w:rsid w:val="36F72987"/>
    <w:rsid w:val="36FD3A7E"/>
    <w:rsid w:val="37144BEB"/>
    <w:rsid w:val="37351663"/>
    <w:rsid w:val="37546F6B"/>
    <w:rsid w:val="37F86018"/>
    <w:rsid w:val="383C57D5"/>
    <w:rsid w:val="388A39F1"/>
    <w:rsid w:val="388C5446"/>
    <w:rsid w:val="38A820E2"/>
    <w:rsid w:val="38BC1D56"/>
    <w:rsid w:val="38C41852"/>
    <w:rsid w:val="38F44FC3"/>
    <w:rsid w:val="39322DCA"/>
    <w:rsid w:val="393B261E"/>
    <w:rsid w:val="3969536D"/>
    <w:rsid w:val="399A54C5"/>
    <w:rsid w:val="39BD4F63"/>
    <w:rsid w:val="39D65E66"/>
    <w:rsid w:val="39D71BE1"/>
    <w:rsid w:val="3A6B5B4F"/>
    <w:rsid w:val="3A75454D"/>
    <w:rsid w:val="3AE14616"/>
    <w:rsid w:val="3AFA38B0"/>
    <w:rsid w:val="3B624AE6"/>
    <w:rsid w:val="3B6E115A"/>
    <w:rsid w:val="3B7A396E"/>
    <w:rsid w:val="3C0974E5"/>
    <w:rsid w:val="3C703C9C"/>
    <w:rsid w:val="3CAE5CF5"/>
    <w:rsid w:val="3CC908BE"/>
    <w:rsid w:val="3CE33824"/>
    <w:rsid w:val="3CED2BE0"/>
    <w:rsid w:val="3D860FDC"/>
    <w:rsid w:val="3D916D98"/>
    <w:rsid w:val="3D9403BF"/>
    <w:rsid w:val="3DDA4FBE"/>
    <w:rsid w:val="3DE05C5C"/>
    <w:rsid w:val="3DEC2F47"/>
    <w:rsid w:val="3DF65C50"/>
    <w:rsid w:val="3E4866CC"/>
    <w:rsid w:val="3E502E5E"/>
    <w:rsid w:val="3E7E3925"/>
    <w:rsid w:val="3EB12F51"/>
    <w:rsid w:val="3F045609"/>
    <w:rsid w:val="3F175AD2"/>
    <w:rsid w:val="3F2814B7"/>
    <w:rsid w:val="3F795302"/>
    <w:rsid w:val="3F797E61"/>
    <w:rsid w:val="3FE4651B"/>
    <w:rsid w:val="400E22A8"/>
    <w:rsid w:val="401F1E5C"/>
    <w:rsid w:val="405817CF"/>
    <w:rsid w:val="409447FA"/>
    <w:rsid w:val="40AC4F73"/>
    <w:rsid w:val="410F0FD2"/>
    <w:rsid w:val="41106F60"/>
    <w:rsid w:val="412D28BB"/>
    <w:rsid w:val="419B1C62"/>
    <w:rsid w:val="41A81983"/>
    <w:rsid w:val="420F1501"/>
    <w:rsid w:val="423971C9"/>
    <w:rsid w:val="43003F5C"/>
    <w:rsid w:val="430639A5"/>
    <w:rsid w:val="430C4F2C"/>
    <w:rsid w:val="432E6FC0"/>
    <w:rsid w:val="43381676"/>
    <w:rsid w:val="434B0ABF"/>
    <w:rsid w:val="4393475A"/>
    <w:rsid w:val="439D6A3B"/>
    <w:rsid w:val="43A32545"/>
    <w:rsid w:val="43D35642"/>
    <w:rsid w:val="44100BBC"/>
    <w:rsid w:val="442C3A84"/>
    <w:rsid w:val="447009B7"/>
    <w:rsid w:val="44B80745"/>
    <w:rsid w:val="44E576B1"/>
    <w:rsid w:val="45156C12"/>
    <w:rsid w:val="452B526C"/>
    <w:rsid w:val="457B5E63"/>
    <w:rsid w:val="45813A13"/>
    <w:rsid w:val="45A87478"/>
    <w:rsid w:val="45C7187A"/>
    <w:rsid w:val="45E12D00"/>
    <w:rsid w:val="46155308"/>
    <w:rsid w:val="461C2416"/>
    <w:rsid w:val="462B290A"/>
    <w:rsid w:val="46601051"/>
    <w:rsid w:val="469B69DE"/>
    <w:rsid w:val="46EA0F42"/>
    <w:rsid w:val="470C099E"/>
    <w:rsid w:val="47155439"/>
    <w:rsid w:val="471724D7"/>
    <w:rsid w:val="4745210F"/>
    <w:rsid w:val="47B15E87"/>
    <w:rsid w:val="47BD48A5"/>
    <w:rsid w:val="48871501"/>
    <w:rsid w:val="48AA544E"/>
    <w:rsid w:val="48FA251E"/>
    <w:rsid w:val="491258F1"/>
    <w:rsid w:val="492F2C77"/>
    <w:rsid w:val="49877E5D"/>
    <w:rsid w:val="49944005"/>
    <w:rsid w:val="49A044DF"/>
    <w:rsid w:val="49B74570"/>
    <w:rsid w:val="49CF57A7"/>
    <w:rsid w:val="49EC2ED5"/>
    <w:rsid w:val="4A477951"/>
    <w:rsid w:val="4A4C4D2D"/>
    <w:rsid w:val="4A5938D9"/>
    <w:rsid w:val="4A7D59F6"/>
    <w:rsid w:val="4A841506"/>
    <w:rsid w:val="4AA56AB7"/>
    <w:rsid w:val="4ACB5EF6"/>
    <w:rsid w:val="4AD51D88"/>
    <w:rsid w:val="4AEC39DF"/>
    <w:rsid w:val="4AFC4B08"/>
    <w:rsid w:val="4B29353F"/>
    <w:rsid w:val="4B6879B8"/>
    <w:rsid w:val="4B8D3291"/>
    <w:rsid w:val="4BB81280"/>
    <w:rsid w:val="4C625870"/>
    <w:rsid w:val="4C8105C7"/>
    <w:rsid w:val="4C9C087D"/>
    <w:rsid w:val="4C9E1674"/>
    <w:rsid w:val="4CA5294A"/>
    <w:rsid w:val="4CA77CCF"/>
    <w:rsid w:val="4D0C1F42"/>
    <w:rsid w:val="4D6D1ACF"/>
    <w:rsid w:val="4DA12638"/>
    <w:rsid w:val="4DCC322F"/>
    <w:rsid w:val="4DF302C7"/>
    <w:rsid w:val="4DFB6E10"/>
    <w:rsid w:val="4E282B30"/>
    <w:rsid w:val="4E574FDB"/>
    <w:rsid w:val="4E792A71"/>
    <w:rsid w:val="4E7B1E8E"/>
    <w:rsid w:val="4E8523DB"/>
    <w:rsid w:val="4EA40BEC"/>
    <w:rsid w:val="4EFE1B06"/>
    <w:rsid w:val="4F2C567C"/>
    <w:rsid w:val="4FBD1176"/>
    <w:rsid w:val="50147D05"/>
    <w:rsid w:val="50B07C8B"/>
    <w:rsid w:val="517F2D6B"/>
    <w:rsid w:val="51AE297F"/>
    <w:rsid w:val="51C44047"/>
    <w:rsid w:val="51E067DA"/>
    <w:rsid w:val="51E32CD7"/>
    <w:rsid w:val="520A526C"/>
    <w:rsid w:val="520E55B9"/>
    <w:rsid w:val="52152461"/>
    <w:rsid w:val="52301E9C"/>
    <w:rsid w:val="523130DA"/>
    <w:rsid w:val="525150C8"/>
    <w:rsid w:val="525A17EC"/>
    <w:rsid w:val="52901977"/>
    <w:rsid w:val="52B52629"/>
    <w:rsid w:val="52BD6228"/>
    <w:rsid w:val="52EC2697"/>
    <w:rsid w:val="52FA1C19"/>
    <w:rsid w:val="52FF10B2"/>
    <w:rsid w:val="530844CB"/>
    <w:rsid w:val="53111F7A"/>
    <w:rsid w:val="531C4F09"/>
    <w:rsid w:val="533E6EF9"/>
    <w:rsid w:val="53427590"/>
    <w:rsid w:val="53BD3E08"/>
    <w:rsid w:val="540A3CA4"/>
    <w:rsid w:val="54546009"/>
    <w:rsid w:val="54AA7432"/>
    <w:rsid w:val="54D343EE"/>
    <w:rsid w:val="54EC3D2A"/>
    <w:rsid w:val="55003B2A"/>
    <w:rsid w:val="551A4BEB"/>
    <w:rsid w:val="55F373A9"/>
    <w:rsid w:val="56100471"/>
    <w:rsid w:val="56885B38"/>
    <w:rsid w:val="56905B76"/>
    <w:rsid w:val="56E132CD"/>
    <w:rsid w:val="56E70449"/>
    <w:rsid w:val="57384A89"/>
    <w:rsid w:val="576921AC"/>
    <w:rsid w:val="578257B3"/>
    <w:rsid w:val="57B43CDD"/>
    <w:rsid w:val="57C52DC2"/>
    <w:rsid w:val="58333E33"/>
    <w:rsid w:val="587E455E"/>
    <w:rsid w:val="58810BAF"/>
    <w:rsid w:val="58A15CBD"/>
    <w:rsid w:val="58B04C6D"/>
    <w:rsid w:val="58B82D42"/>
    <w:rsid w:val="594E576F"/>
    <w:rsid w:val="599C02E0"/>
    <w:rsid w:val="59A7513A"/>
    <w:rsid w:val="59EA295D"/>
    <w:rsid w:val="59EE0559"/>
    <w:rsid w:val="5A7E3895"/>
    <w:rsid w:val="5AA749EC"/>
    <w:rsid w:val="5B19371B"/>
    <w:rsid w:val="5B247DE6"/>
    <w:rsid w:val="5B296B74"/>
    <w:rsid w:val="5B717B2C"/>
    <w:rsid w:val="5BA74719"/>
    <w:rsid w:val="5BCC5DD0"/>
    <w:rsid w:val="5BE72C95"/>
    <w:rsid w:val="5C025BC0"/>
    <w:rsid w:val="5C113E3A"/>
    <w:rsid w:val="5C3F52D4"/>
    <w:rsid w:val="5C4552AF"/>
    <w:rsid w:val="5C747DD4"/>
    <w:rsid w:val="5C784EFB"/>
    <w:rsid w:val="5C873659"/>
    <w:rsid w:val="5D0755DD"/>
    <w:rsid w:val="5D250113"/>
    <w:rsid w:val="5D3069DA"/>
    <w:rsid w:val="5D7C6C34"/>
    <w:rsid w:val="5DB977AD"/>
    <w:rsid w:val="5DF06C71"/>
    <w:rsid w:val="5E030CCF"/>
    <w:rsid w:val="5EB437ED"/>
    <w:rsid w:val="5EBD0CF6"/>
    <w:rsid w:val="5ED40D09"/>
    <w:rsid w:val="5F016BA9"/>
    <w:rsid w:val="5F493E3A"/>
    <w:rsid w:val="5FAF788A"/>
    <w:rsid w:val="60095841"/>
    <w:rsid w:val="60473A84"/>
    <w:rsid w:val="607B172A"/>
    <w:rsid w:val="608B7B28"/>
    <w:rsid w:val="60935AA5"/>
    <w:rsid w:val="60C71515"/>
    <w:rsid w:val="60D708DD"/>
    <w:rsid w:val="610A56C0"/>
    <w:rsid w:val="618875CD"/>
    <w:rsid w:val="618B092A"/>
    <w:rsid w:val="618B13D8"/>
    <w:rsid w:val="61C73878"/>
    <w:rsid w:val="61DF5C39"/>
    <w:rsid w:val="62514DB2"/>
    <w:rsid w:val="625B2A6F"/>
    <w:rsid w:val="626A3C5D"/>
    <w:rsid w:val="62A15BAF"/>
    <w:rsid w:val="62A96E34"/>
    <w:rsid w:val="62B80F95"/>
    <w:rsid w:val="62BF7326"/>
    <w:rsid w:val="62EB15E6"/>
    <w:rsid w:val="63247932"/>
    <w:rsid w:val="63587BFB"/>
    <w:rsid w:val="63A30A71"/>
    <w:rsid w:val="641B7569"/>
    <w:rsid w:val="64261EB1"/>
    <w:rsid w:val="647D06D6"/>
    <w:rsid w:val="65323D27"/>
    <w:rsid w:val="65363BF6"/>
    <w:rsid w:val="655240F5"/>
    <w:rsid w:val="65BC7759"/>
    <w:rsid w:val="65D64492"/>
    <w:rsid w:val="65F46872"/>
    <w:rsid w:val="662B660E"/>
    <w:rsid w:val="668C7042"/>
    <w:rsid w:val="66E94EA5"/>
    <w:rsid w:val="66FE4D2D"/>
    <w:rsid w:val="671F3FC9"/>
    <w:rsid w:val="680B153A"/>
    <w:rsid w:val="68577A29"/>
    <w:rsid w:val="6890139A"/>
    <w:rsid w:val="68917965"/>
    <w:rsid w:val="69350B81"/>
    <w:rsid w:val="693D1603"/>
    <w:rsid w:val="697E447A"/>
    <w:rsid w:val="6995448D"/>
    <w:rsid w:val="69B30FC6"/>
    <w:rsid w:val="69B66BBE"/>
    <w:rsid w:val="69B759A6"/>
    <w:rsid w:val="69C259C4"/>
    <w:rsid w:val="69CE3F38"/>
    <w:rsid w:val="69FD6FA9"/>
    <w:rsid w:val="69FF15DB"/>
    <w:rsid w:val="6A34021F"/>
    <w:rsid w:val="6A373B3F"/>
    <w:rsid w:val="6A680AC7"/>
    <w:rsid w:val="6A69237A"/>
    <w:rsid w:val="6A7E08A0"/>
    <w:rsid w:val="6AA74E4E"/>
    <w:rsid w:val="6AE47070"/>
    <w:rsid w:val="6B1064C8"/>
    <w:rsid w:val="6B6627B0"/>
    <w:rsid w:val="6B894893"/>
    <w:rsid w:val="6BB001E3"/>
    <w:rsid w:val="6BD43E2F"/>
    <w:rsid w:val="6BF100C9"/>
    <w:rsid w:val="6C2842DA"/>
    <w:rsid w:val="6C6E2D5C"/>
    <w:rsid w:val="6C7500A7"/>
    <w:rsid w:val="6C8F3FDB"/>
    <w:rsid w:val="6CA93EDE"/>
    <w:rsid w:val="6CAE0F62"/>
    <w:rsid w:val="6CB26146"/>
    <w:rsid w:val="6CF90FA7"/>
    <w:rsid w:val="6D0673BE"/>
    <w:rsid w:val="6D273E88"/>
    <w:rsid w:val="6D3E65A5"/>
    <w:rsid w:val="6DF54678"/>
    <w:rsid w:val="6E1011D6"/>
    <w:rsid w:val="6E2361B5"/>
    <w:rsid w:val="6E2A73FD"/>
    <w:rsid w:val="6E2E3C71"/>
    <w:rsid w:val="6EAF26EB"/>
    <w:rsid w:val="6ED479D7"/>
    <w:rsid w:val="6F6E27DB"/>
    <w:rsid w:val="6FAB7436"/>
    <w:rsid w:val="6FF96E49"/>
    <w:rsid w:val="6FFB2337"/>
    <w:rsid w:val="705561C5"/>
    <w:rsid w:val="7073617A"/>
    <w:rsid w:val="70912997"/>
    <w:rsid w:val="70A72C2B"/>
    <w:rsid w:val="70A861EE"/>
    <w:rsid w:val="70AC23E9"/>
    <w:rsid w:val="70D835A4"/>
    <w:rsid w:val="713E7C36"/>
    <w:rsid w:val="71410E5A"/>
    <w:rsid w:val="715706B9"/>
    <w:rsid w:val="71760AE8"/>
    <w:rsid w:val="7197710E"/>
    <w:rsid w:val="72160FA6"/>
    <w:rsid w:val="726252B1"/>
    <w:rsid w:val="72BB4189"/>
    <w:rsid w:val="72D5081B"/>
    <w:rsid w:val="73142C43"/>
    <w:rsid w:val="73357A4E"/>
    <w:rsid w:val="73445F85"/>
    <w:rsid w:val="738A4F3B"/>
    <w:rsid w:val="73A3132E"/>
    <w:rsid w:val="73E67BC2"/>
    <w:rsid w:val="74222495"/>
    <w:rsid w:val="743035F9"/>
    <w:rsid w:val="74D716EA"/>
    <w:rsid w:val="74E5216C"/>
    <w:rsid w:val="75441E9F"/>
    <w:rsid w:val="75583F08"/>
    <w:rsid w:val="75643856"/>
    <w:rsid w:val="75681555"/>
    <w:rsid w:val="757B0F80"/>
    <w:rsid w:val="75AC37AD"/>
    <w:rsid w:val="760D5285"/>
    <w:rsid w:val="76325572"/>
    <w:rsid w:val="7638474E"/>
    <w:rsid w:val="76847BCA"/>
    <w:rsid w:val="76B90503"/>
    <w:rsid w:val="771C3795"/>
    <w:rsid w:val="77A16CE5"/>
    <w:rsid w:val="77FF4904"/>
    <w:rsid w:val="7802253D"/>
    <w:rsid w:val="78327B41"/>
    <w:rsid w:val="789221BC"/>
    <w:rsid w:val="78A30FD4"/>
    <w:rsid w:val="78A47248"/>
    <w:rsid w:val="78AA23A5"/>
    <w:rsid w:val="78DF3081"/>
    <w:rsid w:val="79446C52"/>
    <w:rsid w:val="79464393"/>
    <w:rsid w:val="7955640B"/>
    <w:rsid w:val="796122B5"/>
    <w:rsid w:val="7991690B"/>
    <w:rsid w:val="79C9770C"/>
    <w:rsid w:val="79EB0B1C"/>
    <w:rsid w:val="79F934D4"/>
    <w:rsid w:val="7A467EBC"/>
    <w:rsid w:val="7A561A4C"/>
    <w:rsid w:val="7A832F11"/>
    <w:rsid w:val="7AD80843"/>
    <w:rsid w:val="7B2A223D"/>
    <w:rsid w:val="7B4F56FE"/>
    <w:rsid w:val="7B5C71F3"/>
    <w:rsid w:val="7B610A16"/>
    <w:rsid w:val="7B6353A4"/>
    <w:rsid w:val="7B721153"/>
    <w:rsid w:val="7B7D7911"/>
    <w:rsid w:val="7BE07B23"/>
    <w:rsid w:val="7BEE0E86"/>
    <w:rsid w:val="7C1F66C8"/>
    <w:rsid w:val="7C2C37F3"/>
    <w:rsid w:val="7C327CEA"/>
    <w:rsid w:val="7C870A86"/>
    <w:rsid w:val="7C9F5C6A"/>
    <w:rsid w:val="7CBC01CD"/>
    <w:rsid w:val="7CC54DDD"/>
    <w:rsid w:val="7CC87A3D"/>
    <w:rsid w:val="7CD93D40"/>
    <w:rsid w:val="7D474A59"/>
    <w:rsid w:val="7D513C0A"/>
    <w:rsid w:val="7E643451"/>
    <w:rsid w:val="7EBE4996"/>
    <w:rsid w:val="7ECF3AFD"/>
    <w:rsid w:val="7EEF2765"/>
    <w:rsid w:val="7EF17CD6"/>
    <w:rsid w:val="7EFC6747"/>
    <w:rsid w:val="7F4230AA"/>
    <w:rsid w:val="7F7245D3"/>
    <w:rsid w:val="7FAC383C"/>
    <w:rsid w:val="7FC036DD"/>
    <w:rsid w:val="7FD9499F"/>
    <w:rsid w:val="7FE428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uiPriority w:val="0"/>
  </w:style>
  <w:style w:type="paragraph" w:styleId="5">
    <w:name w:val="Body Text Indent"/>
    <w:basedOn w:val="1"/>
    <w:qFormat/>
    <w:uiPriority w:val="0"/>
    <w:pPr>
      <w:ind w:firstLine="480" w:firstLineChars="200"/>
    </w:pPr>
    <w:rPr>
      <w:rFonts w:ascii="宋体" w:hAnsi="宋体"/>
      <w:sz w:val="24"/>
      <w:szCs w:val="20"/>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6">
    <w:name w:val="_Style 2"/>
    <w:basedOn w:val="1"/>
    <w:qFormat/>
    <w:uiPriority w:val="34"/>
    <w:pPr>
      <w:ind w:firstLine="420" w:firstLineChars="200"/>
    </w:pPr>
  </w:style>
  <w:style w:type="paragraph" w:customStyle="1" w:styleId="17">
    <w:name w:val="_Style 1"/>
    <w:basedOn w:val="1"/>
    <w:qFormat/>
    <w:uiPriority w:val="34"/>
    <w:pPr>
      <w:ind w:firstLine="420" w:firstLineChars="200"/>
    </w:pPr>
  </w:style>
  <w:style w:type="paragraph" w:customStyle="1" w:styleId="18">
    <w:name w:val="列出段落3"/>
    <w:basedOn w:val="1"/>
    <w:unhideWhenUsed/>
    <w:qFormat/>
    <w:uiPriority w:val="34"/>
    <w:pPr>
      <w:ind w:firstLine="420" w:firstLineChars="200"/>
    </w:pPr>
  </w:style>
  <w:style w:type="paragraph" w:customStyle="1" w:styleId="19">
    <w:name w:val="List Paragraph"/>
    <w:basedOn w:val="1"/>
    <w:qFormat/>
    <w:uiPriority w:val="34"/>
    <w:pPr>
      <w:ind w:firstLine="420" w:firstLineChars="200"/>
    </w:pPr>
  </w:style>
  <w:style w:type="paragraph" w:customStyle="1" w:styleId="20">
    <w:name w:val="列出段落1"/>
    <w:basedOn w:val="1"/>
    <w:qFormat/>
    <w:uiPriority w:val="0"/>
    <w:pPr>
      <w:ind w:firstLine="420" w:firstLineChars="200"/>
    </w:pPr>
    <w:rPr>
      <w:szCs w:val="21"/>
    </w:rPr>
  </w:style>
  <w:style w:type="paragraph" w:customStyle="1" w:styleId="21">
    <w:name w:val="列出段落11"/>
    <w:basedOn w:val="1"/>
    <w:qFormat/>
    <w:uiPriority w:val="34"/>
    <w:pPr>
      <w:widowControl/>
      <w:ind w:firstLine="420" w:firstLineChars="200"/>
      <w:jc w:val="left"/>
    </w:pPr>
    <w:rPr>
      <w:szCs w:val="24"/>
    </w:rPr>
  </w:style>
  <w:style w:type="paragraph" w:customStyle="1" w:styleId="22">
    <w:name w:val="Default"/>
    <w:qForma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paragraph" w:customStyle="1" w:styleId="23">
    <w:name w:val="列出段落2"/>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广检集团科学研究院/广州广检科学研究院有限公司</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2019-10-16T12:43:00Z</dcterms:created>
  <dc:creator>姚丹玲</dc:creator>
  <cp:lastModifiedBy>carrieydl</cp:lastModifiedBy>
  <dcterms:modified xsi:type="dcterms:W3CDTF">2019-10-20T15:12:39Z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