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7"/>
        <w:spacing w:line="360" w:lineRule="auto"/>
        <w:ind w:firstLine="470" w:firstLineChars="147"/>
        <w:rPr>
          <w:rFonts w:hint="eastAsia" w:ascii="仿宋_GB2312" w:eastAsia="仿宋_GB2312"/>
          <w:b/>
          <w:sz w:val="32"/>
        </w:rPr>
      </w:pPr>
    </w:p>
    <w:p>
      <w:pPr>
        <w:pStyle w:val="7"/>
        <w:spacing w:line="360" w:lineRule="auto"/>
        <w:ind w:firstLine="470" w:firstLineChars="147"/>
        <w:rPr>
          <w:rFonts w:hint="eastAsia" w:ascii="仿宋_GB2312" w:eastAsia="仿宋_GB2312"/>
          <w:b/>
          <w:sz w:val="32"/>
        </w:rPr>
      </w:pPr>
    </w:p>
    <w:p>
      <w:pPr>
        <w:pStyle w:val="7"/>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广检集团广质院2020年</w:t>
      </w:r>
      <w:r>
        <w:rPr>
          <w:rFonts w:hint="eastAsia" w:ascii="仿宋_GB2312" w:hAnsi="仿宋_GB2312" w:eastAsia="仿宋_GB2312" w:cs="仿宋_GB2312"/>
          <w:b/>
          <w:sz w:val="32"/>
          <w:szCs w:val="32"/>
          <w:lang w:val="en-US" w:eastAsia="zh-CN"/>
        </w:rPr>
        <w:t>恒温恒湿箱公开</w:t>
      </w:r>
      <w:r>
        <w:rPr>
          <w:rFonts w:hint="eastAsia" w:ascii="仿宋_GB2312" w:hAnsi="仿宋_GB2312" w:eastAsia="仿宋_GB2312" w:cs="仿宋_GB2312"/>
          <w:b/>
          <w:sz w:val="32"/>
          <w:szCs w:val="32"/>
        </w:rPr>
        <w:t>竞选采购项目</w:t>
      </w:r>
    </w:p>
    <w:p>
      <w:pPr>
        <w:pStyle w:val="7"/>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w:t>
      </w:r>
      <w:r>
        <w:rPr>
          <w:rFonts w:hint="eastAsia" w:ascii="黑体" w:hAnsi="华文中宋" w:eastAsia="黑体" w:cs="华文中宋"/>
          <w:sz w:val="30"/>
          <w:szCs w:val="30"/>
          <w:lang w:val="en-US" w:eastAsia="zh-CN"/>
        </w:rPr>
        <w:t>20</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11</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竞选项目编号：GZY-ZHBGS-SBCG105-2020-12</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竞选项目名称：广检集团广质院2020年</w:t>
      </w:r>
      <w:r>
        <w:rPr>
          <w:rFonts w:hint="eastAsia" w:asciiTheme="minorEastAsia" w:hAnsiTheme="minorEastAsia" w:eastAsiaTheme="minorEastAsia" w:cstheme="minorEastAsia"/>
          <w:b/>
          <w:szCs w:val="21"/>
          <w:lang w:val="en-US" w:eastAsia="zh-CN"/>
        </w:rPr>
        <w:t>恒温恒湿箱公开</w:t>
      </w:r>
      <w:r>
        <w:rPr>
          <w:rFonts w:hint="eastAsia" w:asciiTheme="minorEastAsia" w:hAnsiTheme="minorEastAsia" w:eastAsiaTheme="minorEastAsia" w:cstheme="minorEastAsia"/>
          <w:b/>
          <w:szCs w:val="21"/>
        </w:rPr>
        <w:t>竞选采购项目</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1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val="en-US" w:eastAsia="zh-CN"/>
              </w:rPr>
            </w:pPr>
            <w:r>
              <w:rPr>
                <w:rFonts w:hint="eastAsia" w:hAnsi="宋体"/>
                <w:szCs w:val="21"/>
                <w:lang w:val="en-US" w:eastAsia="zh-CN"/>
              </w:rPr>
              <w:t>恒温恒湿箱</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hAnsi="宋体"/>
                <w:szCs w:val="21"/>
                <w:lang w:val="en-US" w:eastAsia="zh-CN"/>
              </w:rPr>
              <w:t>2</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15天</w:t>
            </w:r>
          </w:p>
        </w:tc>
        <w:tc>
          <w:tcPr>
            <w:tcW w:w="2758" w:type="dxa"/>
            <w:tcBorders>
              <w:top w:val="single" w:color="auto" w:sz="4" w:space="0"/>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33.4 </w:t>
            </w:r>
            <w:r>
              <w:rPr>
                <w:rFonts w:hint="eastAsia" w:ascii="宋体" w:hAnsi="宋体"/>
                <w:snapToGrid/>
                <w:spacing w:val="0"/>
                <w:kern w:val="2"/>
                <w:sz w:val="21"/>
                <w:szCs w:val="21"/>
                <w:lang w:val="en-US" w:eastAsia="zh-CN"/>
              </w:rPr>
              <w:t>万元</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获取竞选文件的所需文件和方式：</w:t>
      </w:r>
      <w:r>
        <w:rPr>
          <w:rFonts w:hint="eastAsia" w:ascii="宋体" w:hAnsi="宋体"/>
          <w:b/>
          <w:bCs/>
          <w:szCs w:val="21"/>
        </w:rPr>
        <w:t>登陆广检集团官方主页--采购公告板块--公开竞选采购页面下载</w:t>
      </w:r>
      <w:r>
        <w:rPr>
          <w:rFonts w:hint="eastAsia" w:ascii="宋体" w:hAnsi="宋体"/>
          <w:b/>
          <w:bCs/>
          <w:szCs w:val="21"/>
          <w:lang w:eastAsia="zh-CN"/>
        </w:rPr>
        <w:t>。</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截止时间：20</w:t>
      </w:r>
      <w:r>
        <w:rPr>
          <w:rFonts w:hint="eastAsia" w:asciiTheme="minorEastAsia" w:hAnsiTheme="minorEastAsia" w:eastAsiaTheme="minorEastAsia" w:cstheme="minorEastAsia"/>
          <w:b/>
          <w:bCs/>
          <w:color w:val="auto"/>
          <w:szCs w:val="21"/>
          <w:lang w:val="en-US" w:eastAsia="zh-CN"/>
        </w:rPr>
        <w:t>20</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12</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10</w:t>
      </w:r>
      <w:r>
        <w:rPr>
          <w:rFonts w:hint="eastAsia" w:asciiTheme="minorEastAsia" w:hAnsiTheme="minorEastAsia" w:eastAsiaTheme="minorEastAsia" w:cstheme="minorEastAsia"/>
          <w:b/>
          <w:bCs/>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color w:val="auto"/>
          <w:szCs w:val="21"/>
          <w:lang w:val="en-US" w:eastAsia="zh-CN"/>
        </w:rPr>
        <w:t>一般在截止递交报价文件后一周内完成评审，评审地点：</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bgs@cngttc.cn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20</w:t>
      </w:r>
      <w:r>
        <w:rPr>
          <w:rFonts w:hint="eastAsia" w:asciiTheme="minorEastAsia" w:hAnsiTheme="minorEastAsia" w:eastAsiaTheme="minorEastAsia" w:cstheme="minorEastAsia"/>
          <w:b/>
        </w:rPr>
        <w:t xml:space="preserve"> 年</w:t>
      </w:r>
      <w:r>
        <w:rPr>
          <w:rFonts w:hint="eastAsia" w:asciiTheme="minorEastAsia" w:hAnsiTheme="minorEastAsia" w:eastAsiaTheme="minorEastAsia" w:cstheme="minorEastAsia"/>
          <w:b/>
          <w:lang w:val="en-US" w:eastAsia="zh-CN"/>
        </w:rPr>
        <w:t>11</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438222735"/>
      <w:bookmarkStart w:id="1" w:name="_Toc433648008"/>
      <w:bookmarkStart w:id="2" w:name="_Toc5551_WPSOffice_Level1"/>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1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val="en-US" w:eastAsia="zh-CN"/>
              </w:rPr>
            </w:pPr>
            <w:r>
              <w:rPr>
                <w:rFonts w:hint="eastAsia" w:hAnsi="宋体"/>
                <w:szCs w:val="21"/>
                <w:lang w:val="en-US" w:eastAsia="zh-CN"/>
              </w:rPr>
              <w:t>恒温恒湿箱</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hAnsi="宋体"/>
                <w:szCs w:val="21"/>
                <w:lang w:val="en-US" w:eastAsia="zh-CN"/>
              </w:rPr>
              <w:t>2</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15天</w:t>
            </w:r>
          </w:p>
        </w:tc>
        <w:tc>
          <w:tcPr>
            <w:tcW w:w="2758" w:type="dxa"/>
            <w:tcBorders>
              <w:top w:val="single" w:color="auto" w:sz="4" w:space="0"/>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33.4 </w:t>
            </w:r>
            <w:r>
              <w:rPr>
                <w:rFonts w:hint="eastAsia" w:ascii="宋体" w:hAnsi="宋体"/>
                <w:snapToGrid/>
                <w:spacing w:val="0"/>
                <w:kern w:val="2"/>
                <w:sz w:val="21"/>
                <w:szCs w:val="21"/>
                <w:lang w:val="en-US" w:eastAsia="zh-CN"/>
              </w:rPr>
              <w:t>万元</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技术要求及参数：</w:t>
      </w:r>
    </w:p>
    <w:p>
      <w:pPr>
        <w:pStyle w:val="101"/>
        <w:spacing w:line="360" w:lineRule="auto"/>
        <w:ind w:left="0" w:leftChars="0" w:firstLine="0" w:firstLineChars="0"/>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数量：</w:t>
      </w:r>
      <w:r>
        <w:rPr>
          <w:rFonts w:hint="eastAsia" w:asciiTheme="minorEastAsia" w:hAnsiTheme="minorEastAsia" w:eastAsiaTheme="minorEastAsia" w:cstheme="minorEastAsia"/>
          <w:b/>
          <w:bCs/>
          <w:sz w:val="21"/>
          <w:szCs w:val="21"/>
          <w:highlight w:val="none"/>
          <w:lang w:val="en-US" w:eastAsia="zh-CN"/>
        </w:rPr>
        <w:t>2 台（</w:t>
      </w:r>
      <w:r>
        <w:rPr>
          <w:rFonts w:hint="eastAsia" w:asciiTheme="minorEastAsia" w:hAnsiTheme="minorEastAsia" w:eastAsiaTheme="minorEastAsia" w:cstheme="minorEastAsia"/>
          <w:b/>
          <w:bCs/>
          <w:sz w:val="21"/>
          <w:szCs w:val="21"/>
          <w:highlight w:val="none"/>
        </w:rPr>
        <w:t>套</w:t>
      </w:r>
      <w:r>
        <w:rPr>
          <w:rFonts w:hint="eastAsia" w:asciiTheme="minorEastAsia" w:hAnsiTheme="minorEastAsia" w:eastAsiaTheme="minorEastAsia" w:cstheme="minorEastAsia"/>
          <w:b/>
          <w:bCs/>
          <w:sz w:val="21"/>
          <w:szCs w:val="21"/>
          <w:highlight w:val="none"/>
          <w:lang w:eastAsia="zh-CN"/>
        </w:rPr>
        <w:t>）</w:t>
      </w:r>
    </w:p>
    <w:p>
      <w:pPr>
        <w:pStyle w:val="101"/>
        <w:numPr>
          <w:ilvl w:val="0"/>
          <w:numId w:val="7"/>
        </w:numPr>
        <w:spacing w:line="360" w:lineRule="auto"/>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应用要求</w:t>
      </w:r>
    </w:p>
    <w:p>
      <w:pPr>
        <w:pStyle w:val="101"/>
        <w:numPr>
          <w:ilvl w:val="0"/>
          <w:numId w:val="0"/>
        </w:numPr>
        <w:spacing w:line="360" w:lineRule="auto"/>
        <w:ind w:leftChars="0" w:firstLine="420" w:firstLineChars="20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lang w:val="en-US" w:eastAsia="zh-CN"/>
        </w:rPr>
        <w:t>需满足一般食品、保健品、特殊膳食食品等样品的加速试验、稳定性试验的使用</w:t>
      </w:r>
      <w:r>
        <w:rPr>
          <w:rFonts w:hint="eastAsia" w:asciiTheme="minorEastAsia" w:hAnsiTheme="minorEastAsia" w:eastAsiaTheme="minorEastAsia" w:cstheme="minorEastAsia"/>
          <w:sz w:val="21"/>
          <w:szCs w:val="21"/>
          <w:lang w:eastAsia="zh-CN"/>
        </w:rPr>
        <w:t>要求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长期稳定</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．技术要求及参数</w:t>
      </w:r>
    </w:p>
    <w:p>
      <w:pPr>
        <w:autoSpaceDE w:val="0"/>
        <w:autoSpaceDN w:val="0"/>
        <w:adjustRightInd w:val="0"/>
        <w:spacing w:line="360" w:lineRule="auto"/>
        <w:jc w:val="left"/>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1 内腔使用不锈钢材质，内容积不少于740L</w:t>
      </w:r>
      <w:r>
        <w:rPr>
          <w:rFonts w:hint="eastAsia" w:asciiTheme="minorEastAsia" w:hAnsiTheme="minorEastAsia" w:eastAsiaTheme="minorEastAsia" w:cstheme="minorEastAsia"/>
          <w:kern w:val="2"/>
          <w:sz w:val="21"/>
          <w:szCs w:val="21"/>
          <w:lang w:val="en-US" w:eastAsia="zh-CN" w:bidi="ar-SA"/>
        </w:rPr>
        <w:t>。</w:t>
      </w:r>
    </w:p>
    <w:p>
      <w:pPr>
        <w:widowControl w:val="0"/>
        <w:spacing w:line="360" w:lineRule="auto"/>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2</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控温范围不少</w:t>
      </w:r>
      <w:r>
        <w:rPr>
          <w:rFonts w:hint="eastAsia" w:asciiTheme="minorEastAsia" w:hAnsiTheme="minorEastAsia" w:eastAsiaTheme="minorEastAsia" w:cstheme="minorEastAsia"/>
          <w:sz w:val="21"/>
          <w:szCs w:val="21"/>
          <w:highlight w:val="none"/>
          <w:lang w:val="en-US" w:eastAsia="zh-CN"/>
        </w:rPr>
        <w:t>于0-70℃，温度显示精度不少于0.1℃；控湿范围不少于10-90%RH</w:t>
      </w:r>
      <w:r>
        <w:rPr>
          <w:rFonts w:hint="eastAsia" w:asciiTheme="minorEastAsia" w:hAnsiTheme="minorEastAsia" w:eastAsiaTheme="minorEastAsia" w:cstheme="minorEastAsia"/>
          <w:sz w:val="21"/>
          <w:szCs w:val="21"/>
          <w:highlight w:val="none"/>
          <w:lang w:eastAsia="zh-CN"/>
        </w:rPr>
        <w:t>。</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3双层门设计，隔热。</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4数显，触屏式面版进行仪器控制。</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5内置不锈钢格栅板可放置不少于5个</w:t>
      </w:r>
      <w:r>
        <w:rPr>
          <w:rFonts w:hint="eastAsia" w:asciiTheme="minorEastAsia" w:hAnsiTheme="minorEastAsia" w:eastAsiaTheme="minorEastAsia" w:cstheme="minorEastAsia"/>
          <w:kern w:val="0"/>
          <w:sz w:val="21"/>
          <w:szCs w:val="21"/>
          <w:highlight w:val="none"/>
          <w:lang w:eastAsia="zh-CN"/>
        </w:rPr>
        <w:t>。</w:t>
      </w:r>
    </w:p>
    <w:p>
      <w:pPr>
        <w:widowControl w:val="0"/>
        <w:spacing w:line="360" w:lineRule="auto"/>
        <w:jc w:val="both"/>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b/>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2.6恒温恒湿箱采用多个半导体元件进行控制</w:t>
      </w:r>
      <w:r>
        <w:rPr>
          <w:rFonts w:hint="eastAsia" w:asciiTheme="minorEastAsia" w:hAnsiTheme="minorEastAsia" w:eastAsiaTheme="minorEastAsia" w:cstheme="minorEastAsia"/>
          <w:sz w:val="21"/>
          <w:szCs w:val="21"/>
          <w:highlight w:val="none"/>
          <w:lang w:val="en-US" w:eastAsia="zh-CN"/>
        </w:rPr>
        <w:t>加热</w:t>
      </w:r>
      <w:r>
        <w:rPr>
          <w:rFonts w:hint="eastAsia" w:asciiTheme="minorEastAsia" w:hAnsiTheme="minorEastAsia" w:eastAsiaTheme="minorEastAsia" w:cstheme="minorEastAsia"/>
          <w:kern w:val="0"/>
          <w:sz w:val="21"/>
          <w:szCs w:val="21"/>
          <w:highlight w:val="none"/>
          <w:lang w:val="en-US" w:eastAsia="zh-CN"/>
        </w:rPr>
        <w:t>，控温控湿稳定，无需制冷剂。</w:t>
      </w:r>
    </w:p>
    <w:p>
      <w:pPr>
        <w:widowControl w:val="0"/>
        <w:spacing w:line="360" w:lineRule="auto"/>
        <w:jc w:val="both"/>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2.7配备水箱。</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sz w:val="21"/>
          <w:szCs w:val="21"/>
          <w:highlight w:val="none"/>
        </w:rPr>
        <w:t>▲</w:t>
      </w:r>
      <w:r>
        <w:rPr>
          <w:rFonts w:hint="eastAsia" w:asciiTheme="minorEastAsia" w:hAnsiTheme="minorEastAsia" w:eastAsiaTheme="minorEastAsia" w:cstheme="minorEastAsia"/>
          <w:bCs/>
          <w:sz w:val="21"/>
          <w:szCs w:val="21"/>
          <w:highlight w:val="none"/>
          <w:lang w:val="en-US" w:eastAsia="zh-CN"/>
        </w:rPr>
        <w:t>2.8控温准确度±1.0</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bCs/>
          <w:sz w:val="21"/>
          <w:szCs w:val="21"/>
          <w:highlight w:val="none"/>
          <w:lang w:val="en-US" w:eastAsia="zh-CN"/>
        </w:rPr>
        <w:t>，控湿准确度±5</w:t>
      </w:r>
      <w:r>
        <w:rPr>
          <w:rFonts w:hint="eastAsia" w:asciiTheme="minorEastAsia" w:hAnsiTheme="minorEastAsia" w:eastAsiaTheme="minorEastAsia" w:cstheme="minorEastAsia"/>
          <w:sz w:val="21"/>
          <w:szCs w:val="21"/>
          <w:highlight w:val="none"/>
          <w:lang w:val="en-US" w:eastAsia="zh-CN"/>
        </w:rPr>
        <w:t>%RH。</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2.9脚轮式设计，方使设备的移动和转运。</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2.10仪器供电的要求须符合我国的要求。</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2.11温度过高或过低，外接水的水量不足均有报醒提示。</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2.12内置数据记录器，数据可实现导出到U盘等存储介质中。</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sz w:val="21"/>
          <w:szCs w:val="21"/>
          <w:highlight w:val="none"/>
        </w:rPr>
        <w:t>★</w:t>
      </w:r>
      <w:r>
        <w:rPr>
          <w:rFonts w:hint="eastAsia" w:asciiTheme="minorEastAsia" w:hAnsiTheme="minorEastAsia" w:eastAsiaTheme="minorEastAsia" w:cstheme="minorEastAsia"/>
          <w:sz w:val="21"/>
          <w:szCs w:val="21"/>
          <w:highlight w:val="none"/>
          <w:lang w:val="en-US" w:eastAsia="zh-CN"/>
        </w:rPr>
        <w:t>2.13仪器及数据可通过软件进行控制处理。</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2.14仪器工作站，包括软件。</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highlight w:val="none"/>
          <w:lang w:val="en-US" w:eastAsia="zh-CN"/>
        </w:rPr>
        <w:t>2.14.1</w:t>
      </w:r>
      <w:r>
        <w:rPr>
          <w:rFonts w:hint="eastAsia" w:asciiTheme="minorEastAsia" w:hAnsiTheme="minorEastAsia" w:eastAsiaTheme="minorEastAsia" w:cstheme="minorEastAsia"/>
          <w:sz w:val="21"/>
          <w:szCs w:val="21"/>
          <w:highlight w:val="none"/>
        </w:rPr>
        <w:t>硬件：商用电脑，</w:t>
      </w:r>
      <w:r>
        <w:rPr>
          <w:rFonts w:hint="eastAsia" w:asciiTheme="minorEastAsia" w:hAnsiTheme="minorEastAsia" w:eastAsiaTheme="minorEastAsia" w:cstheme="minorEastAsia"/>
          <w:b/>
          <w:sz w:val="21"/>
          <w:szCs w:val="21"/>
          <w:highlight w:val="none"/>
        </w:rPr>
        <w:t>正版操作系统，含正版标识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固态</w:t>
      </w:r>
      <w:r>
        <w:rPr>
          <w:rFonts w:hint="eastAsia" w:asciiTheme="minorEastAsia" w:hAnsiTheme="minorEastAsia" w:eastAsiaTheme="minorEastAsia" w:cstheme="minorEastAsia"/>
          <w:sz w:val="21"/>
          <w:szCs w:val="21"/>
          <w:highlight w:val="none"/>
        </w:rPr>
        <w:t>硬盘，总容量</w:t>
      </w:r>
      <w:r>
        <w:rPr>
          <w:rFonts w:hint="eastAsia" w:asciiTheme="minorEastAsia" w:hAnsiTheme="minorEastAsia" w:eastAsiaTheme="minorEastAsia" w:cstheme="minorEastAsia"/>
          <w:sz w:val="21"/>
          <w:szCs w:val="21"/>
          <w:highlight w:val="none"/>
          <w:lang w:val="en-US" w:eastAsia="zh-CN"/>
        </w:rPr>
        <w:t>不少于500G</w:t>
      </w:r>
      <w:r>
        <w:rPr>
          <w:rFonts w:hint="eastAsia" w:asciiTheme="minorEastAsia" w:hAnsiTheme="minorEastAsia" w:eastAsiaTheme="minorEastAsia" w:cstheme="minorEastAsia"/>
          <w:sz w:val="21"/>
          <w:szCs w:val="21"/>
          <w:highlight w:val="none"/>
        </w:rPr>
        <w:t>B；四核 CPU 以上；8G内存；2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寸以上（液晶显示器）；带RJ45接口激光打印机（可以无线打印），</w:t>
      </w:r>
      <w:r>
        <w:rPr>
          <w:rFonts w:hint="eastAsia" w:asciiTheme="minorEastAsia" w:hAnsiTheme="minorEastAsia" w:eastAsiaTheme="minorEastAsia" w:cstheme="minorEastAsia"/>
          <w:b/>
          <w:sz w:val="21"/>
          <w:szCs w:val="21"/>
          <w:highlight w:val="none"/>
        </w:rPr>
        <w:t>必须兼容12A或88A耗材</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rPr>
        <w:t>须提供</w:t>
      </w:r>
      <w:r>
        <w:rPr>
          <w:rFonts w:hint="eastAsia" w:asciiTheme="minorEastAsia" w:hAnsiTheme="minorEastAsia" w:eastAsiaTheme="minorEastAsia" w:cstheme="minorEastAsia"/>
          <w:b/>
          <w:bCs/>
          <w:sz w:val="21"/>
          <w:szCs w:val="21"/>
          <w:highlight w:val="none"/>
          <w:u w:val="single"/>
        </w:rPr>
        <w:t>4年原厂全免费售后服务，接到招标人维修需求之日起下一个工作日提供上门维修服务</w:t>
      </w:r>
      <w:r>
        <w:rPr>
          <w:rFonts w:hint="eastAsia" w:asciiTheme="minorEastAsia" w:hAnsiTheme="minorEastAsia" w:eastAsiaTheme="minorEastAsia" w:cstheme="minorEastAsia"/>
          <w:b/>
          <w:bCs/>
          <w:sz w:val="21"/>
          <w:szCs w:val="21"/>
          <w:highlight w:val="none"/>
          <w:u w:val="single"/>
          <w:lang w:val="en-US" w:eastAsia="zh-CN"/>
        </w:rPr>
        <w:t>；</w:t>
      </w:r>
    </w:p>
    <w:p>
      <w:pPr>
        <w:spacing w:line="360" w:lineRule="auto"/>
        <w:rPr>
          <w:rFonts w:hint="eastAsia" w:asciiTheme="minorEastAsia" w:hAnsiTheme="minorEastAsia" w:eastAsiaTheme="minorEastAsia" w:cstheme="minorEastAsia"/>
          <w:bCs/>
          <w:sz w:val="21"/>
          <w:szCs w:val="21"/>
          <w:highlight w:val="yellow"/>
          <w:lang w:val="en-US" w:eastAsia="zh-CN"/>
        </w:rPr>
      </w:pPr>
      <w:r>
        <w:rPr>
          <w:rFonts w:hint="eastAsia" w:asciiTheme="minorEastAsia" w:hAnsiTheme="minorEastAsia" w:eastAsiaTheme="minorEastAsia" w:cstheme="minorEastAsia"/>
          <w:bCs/>
          <w:sz w:val="21"/>
          <w:szCs w:val="21"/>
          <w:lang w:val="en-US" w:eastAsia="zh-CN"/>
        </w:rPr>
        <w:t>2.14.2 操作环境：不限于Windows7 或 Windows 10等的专业版操作系统，且需要与仪器使用的软件相</w:t>
      </w:r>
      <w:r>
        <w:rPr>
          <w:rFonts w:hint="eastAsia" w:asciiTheme="minorEastAsia" w:hAnsiTheme="minorEastAsia" w:eastAsiaTheme="minorEastAsia" w:cstheme="minorEastAsia"/>
          <w:bCs/>
          <w:sz w:val="21"/>
          <w:szCs w:val="21"/>
          <w:highlight w:val="none"/>
          <w:lang w:val="en-US" w:eastAsia="zh-CN"/>
        </w:rPr>
        <w:t>匹配。</w:t>
      </w:r>
      <w:r>
        <w:rPr>
          <w:rFonts w:hint="eastAsia" w:asciiTheme="minorEastAsia" w:hAnsiTheme="minorEastAsia" w:eastAsiaTheme="minorEastAsia" w:cstheme="minorEastAsia"/>
          <w:b/>
          <w:bCs w:val="0"/>
          <w:sz w:val="21"/>
          <w:szCs w:val="21"/>
          <w:highlight w:val="none"/>
          <w:u w:val="single"/>
          <w:lang w:val="en-US" w:eastAsia="zh-CN"/>
        </w:rPr>
        <w:t>需附上该操作系统及其有关软件正版光盘，含正版标识，用于该操作系统及其有关软件的重装。</w:t>
      </w:r>
    </w:p>
    <w:p>
      <w:pPr>
        <w:widowControl w:val="0"/>
        <w:spacing w:line="360" w:lineRule="auto"/>
        <w:jc w:val="both"/>
        <w:rPr>
          <w:rFonts w:hint="eastAsia" w:asciiTheme="minorEastAsia" w:hAnsiTheme="minorEastAsia" w:eastAsiaTheme="minorEastAsia" w:cstheme="minorEastAsia"/>
          <w:sz w:val="21"/>
          <w:szCs w:val="21"/>
          <w:lang w:val="en-US" w:eastAsia="zh-CN"/>
        </w:rPr>
      </w:pP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配置</w:t>
      </w:r>
      <w:r>
        <w:rPr>
          <w:rFonts w:hint="eastAsia" w:asciiTheme="minorEastAsia" w:hAnsiTheme="minorEastAsia" w:eastAsiaTheme="minorEastAsia" w:cstheme="minorEastAsia"/>
          <w:b/>
          <w:bCs/>
          <w:sz w:val="21"/>
          <w:szCs w:val="21"/>
          <w:lang w:eastAsia="zh-CN"/>
        </w:rPr>
        <w:t>及要求</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3.1每台（套）设备的</w:t>
      </w:r>
      <w:r>
        <w:rPr>
          <w:rFonts w:hint="eastAsia" w:asciiTheme="minorEastAsia" w:hAnsiTheme="minorEastAsia" w:eastAsiaTheme="minorEastAsia" w:cstheme="minorEastAsia"/>
          <w:sz w:val="21"/>
          <w:szCs w:val="21"/>
        </w:rPr>
        <w:t>具体配置及相关耗品如下表</w:t>
      </w:r>
    </w:p>
    <w:tbl>
      <w:tblPr>
        <w:tblStyle w:val="18"/>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748"/>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8"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序号</w:t>
            </w:r>
          </w:p>
        </w:tc>
        <w:tc>
          <w:tcPr>
            <w:tcW w:w="2748"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配置</w:t>
            </w:r>
          </w:p>
        </w:tc>
        <w:tc>
          <w:tcPr>
            <w:tcW w:w="5072" w:type="dxa"/>
          </w:tcPr>
          <w:p>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要求</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台/套</w:t>
            </w:r>
            <w:r>
              <w:rPr>
                <w:rFonts w:hint="eastAsia" w:asciiTheme="minorEastAsia" w:hAnsiTheme="minorEastAsia" w:eastAsiaTheme="minorEastAsia" w:cstheme="minor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8" w:type="dxa"/>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274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恒温恒湿箱</w:t>
            </w:r>
          </w:p>
        </w:tc>
        <w:tc>
          <w:tcPr>
            <w:tcW w:w="5072"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8"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274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水箱</w:t>
            </w:r>
          </w:p>
        </w:tc>
        <w:tc>
          <w:tcPr>
            <w:tcW w:w="5072"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8"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274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不锈钢格栅板</w:t>
            </w:r>
          </w:p>
        </w:tc>
        <w:tc>
          <w:tcPr>
            <w:tcW w:w="5072"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8"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274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仪器软件</w:t>
            </w:r>
          </w:p>
        </w:tc>
        <w:tc>
          <w:tcPr>
            <w:tcW w:w="5072"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58"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274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电脑及打印机</w:t>
            </w:r>
          </w:p>
        </w:tc>
        <w:tc>
          <w:tcPr>
            <w:tcW w:w="5072"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058" w:type="dxa"/>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2748" w:type="dxa"/>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w:t>
            </w:r>
          </w:p>
        </w:tc>
        <w:tc>
          <w:tcPr>
            <w:tcW w:w="5072"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确保能完成检收的相应配件、资料</w:t>
            </w:r>
            <w:r>
              <w:rPr>
                <w:rFonts w:hint="eastAsia" w:asciiTheme="minorEastAsia" w:hAnsiTheme="minorEastAsia" w:eastAsiaTheme="minorEastAsia" w:cstheme="minorEastAsia"/>
                <w:sz w:val="21"/>
                <w:szCs w:val="21"/>
                <w:lang w:val="en-US" w:eastAsia="zh-CN"/>
              </w:rPr>
              <w:t>1批</w:t>
            </w:r>
          </w:p>
        </w:tc>
      </w:tr>
    </w:tbl>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商务要求：</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免费安装调试：仪器到货后1周内到用户处安装调试，调试完成后</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个工作日内完成验收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 xml:space="preserve"> </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安装调试经用户验收合格当天起，</w:t>
      </w:r>
      <w:r>
        <w:rPr>
          <w:rFonts w:hint="eastAsia" w:asciiTheme="minorEastAsia" w:hAnsiTheme="minorEastAsia" w:eastAsiaTheme="minorEastAsia" w:cstheme="minorEastAsia"/>
          <w:b/>
          <w:sz w:val="21"/>
          <w:szCs w:val="21"/>
          <w:highlight w:val="none"/>
          <w:u w:val="single"/>
        </w:rPr>
        <w:t>免费保修不少于</w:t>
      </w:r>
      <w:r>
        <w:rPr>
          <w:rFonts w:hint="eastAsia" w:asciiTheme="minorEastAsia" w:hAnsiTheme="minorEastAsia" w:eastAsiaTheme="minorEastAsia" w:cstheme="minorEastAsia"/>
          <w:b/>
          <w:sz w:val="21"/>
          <w:szCs w:val="21"/>
          <w:highlight w:val="none"/>
          <w:u w:val="single"/>
          <w:lang w:val="en-US" w:eastAsia="zh-CN"/>
        </w:rPr>
        <w:t>1</w:t>
      </w:r>
      <w:r>
        <w:rPr>
          <w:rFonts w:hint="eastAsia" w:asciiTheme="minorEastAsia" w:hAnsiTheme="minorEastAsia" w:eastAsiaTheme="minorEastAsia" w:cstheme="minorEastAsia"/>
          <w:b/>
          <w:sz w:val="21"/>
          <w:szCs w:val="21"/>
          <w:highlight w:val="none"/>
          <w:u w:val="single"/>
        </w:rPr>
        <w:t>年</w:t>
      </w:r>
      <w:r>
        <w:rPr>
          <w:rFonts w:hint="eastAsia" w:asciiTheme="minorEastAsia" w:hAnsiTheme="minorEastAsia" w:eastAsiaTheme="minorEastAsia" w:cstheme="minorEastAsia"/>
          <w:color w:val="000000"/>
          <w:sz w:val="21"/>
          <w:szCs w:val="21"/>
        </w:rPr>
        <w:t>。</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维修响应时间</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sz w:val="21"/>
          <w:szCs w:val="21"/>
          <w:highlight w:val="none"/>
          <w:lang w:val="en-US" w:eastAsia="zh-CN"/>
        </w:rPr>
        <w:t>72</w:t>
      </w:r>
      <w:r>
        <w:rPr>
          <w:rFonts w:hint="eastAsia" w:asciiTheme="minorEastAsia" w:hAnsiTheme="minorEastAsia" w:eastAsiaTheme="minorEastAsia" w:cstheme="minorEastAsia"/>
          <w:sz w:val="21"/>
          <w:szCs w:val="21"/>
          <w:highlight w:val="none"/>
        </w:rPr>
        <w:t>小时内到达现场</w:t>
      </w:r>
      <w:r>
        <w:rPr>
          <w:rFonts w:hint="eastAsia" w:asciiTheme="minorEastAsia" w:hAnsiTheme="minorEastAsia" w:eastAsiaTheme="minorEastAsia" w:cstheme="minorEastAsia"/>
          <w:kern w:val="0"/>
          <w:sz w:val="21"/>
          <w:szCs w:val="21"/>
        </w:rPr>
        <w:t>。</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人员培训：免费为用户培训</w:t>
      </w:r>
      <w:r>
        <w:rPr>
          <w:rFonts w:hint="eastAsia" w:asciiTheme="minorEastAsia" w:hAnsiTheme="minorEastAsia" w:eastAsiaTheme="minorEastAsia" w:cstheme="minorEastAsia"/>
          <w:sz w:val="21"/>
          <w:szCs w:val="21"/>
          <w:highlight w:val="none"/>
          <w:lang w:eastAsia="zh-CN"/>
        </w:rPr>
        <w:t>不少于</w:t>
      </w:r>
      <w:r>
        <w:rPr>
          <w:rFonts w:hint="eastAsia" w:asciiTheme="minorEastAsia" w:hAnsiTheme="minorEastAsia" w:eastAsiaTheme="minorEastAsia" w:cstheme="minorEastAsia"/>
          <w:sz w:val="21"/>
          <w:szCs w:val="21"/>
          <w:highlight w:val="none"/>
        </w:rPr>
        <w:t>2人次（</w:t>
      </w:r>
      <w:r>
        <w:rPr>
          <w:rFonts w:hint="eastAsia" w:asciiTheme="minorEastAsia" w:hAnsiTheme="minorEastAsia" w:eastAsiaTheme="minorEastAsia" w:cstheme="minorEastAsia"/>
          <w:sz w:val="21"/>
          <w:szCs w:val="21"/>
          <w:highlight w:val="none"/>
          <w:lang w:eastAsia="zh-CN"/>
        </w:rPr>
        <w:t>或</w:t>
      </w:r>
      <w:r>
        <w:rPr>
          <w:rFonts w:hint="eastAsia" w:asciiTheme="minorEastAsia" w:hAnsiTheme="minorEastAsia" w:eastAsiaTheme="minorEastAsia" w:cstheme="minorEastAsia"/>
          <w:sz w:val="21"/>
          <w:szCs w:val="21"/>
          <w:highlight w:val="none"/>
        </w:rPr>
        <w:t>到厂家的培训中心培训）</w:t>
      </w:r>
      <w:r>
        <w:rPr>
          <w:rFonts w:hint="eastAsia" w:asciiTheme="minorEastAsia" w:hAnsiTheme="minorEastAsia" w:eastAsiaTheme="minorEastAsia" w:cstheme="minorEastAsia"/>
          <w:kern w:val="0"/>
          <w:sz w:val="21"/>
          <w:szCs w:val="21"/>
        </w:rPr>
        <w:t>。</w:t>
      </w:r>
    </w:p>
    <w:p>
      <w:pPr>
        <w:widowControl/>
        <w:numPr>
          <w:ilvl w:val="0"/>
          <w:numId w:val="8"/>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人单位将成立验收小组对设备进行验收</w:t>
      </w:r>
      <w:r>
        <w:rPr>
          <w:rFonts w:hint="eastAsia" w:asciiTheme="minorEastAsia" w:hAnsiTheme="minorEastAsia" w:eastAsiaTheme="minorEastAsia" w:cstheme="minorEastAsia"/>
          <w:sz w:val="21"/>
          <w:szCs w:val="21"/>
          <w:highlight w:val="none"/>
          <w:lang w:eastAsia="zh-CN"/>
        </w:rPr>
        <w:t>，验收内容包括但不限于</w:t>
      </w:r>
      <w:r>
        <w:rPr>
          <w:rFonts w:hint="eastAsia" w:asciiTheme="minorEastAsia" w:hAnsiTheme="minorEastAsia" w:eastAsiaTheme="minorEastAsia" w:cstheme="minorEastAsia"/>
          <w:sz w:val="21"/>
          <w:szCs w:val="21"/>
          <w:highlight w:val="none"/>
          <w:lang w:val="en-US" w:eastAsia="zh-CN"/>
        </w:rPr>
        <w:t>仪器性能指标等参数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以及的有资质的机构进行合规性检定。</w:t>
      </w:r>
      <w:r>
        <w:rPr>
          <w:rFonts w:hint="eastAsia" w:asciiTheme="minorEastAsia" w:hAnsiTheme="minorEastAsia" w:eastAsiaTheme="minorEastAsia" w:cstheme="minorEastAsia"/>
          <w:sz w:val="21"/>
          <w:szCs w:val="21"/>
          <w:highlight w:val="none"/>
        </w:rPr>
        <w:t>验收涉及的标准品</w:t>
      </w:r>
      <w:r>
        <w:rPr>
          <w:rFonts w:hint="eastAsia" w:asciiTheme="minorEastAsia" w:hAnsiTheme="minorEastAsia" w:eastAsiaTheme="minorEastAsia" w:cstheme="minorEastAsia"/>
          <w:sz w:val="21"/>
          <w:szCs w:val="21"/>
          <w:highlight w:val="none"/>
          <w:lang w:eastAsia="zh-CN"/>
        </w:rPr>
        <w:t>或标准样品由厂家提供，</w:t>
      </w:r>
      <w:r>
        <w:rPr>
          <w:rFonts w:hint="eastAsia" w:asciiTheme="minorEastAsia" w:hAnsiTheme="minorEastAsia" w:eastAsiaTheme="minorEastAsia" w:cstheme="minorEastAsia"/>
          <w:sz w:val="21"/>
          <w:szCs w:val="21"/>
          <w:highlight w:val="none"/>
        </w:rPr>
        <w:t>需厂家工程师及业主方共同认可，方可执行验收实验工作</w:t>
      </w:r>
      <w:r>
        <w:rPr>
          <w:rFonts w:hint="eastAsia" w:asciiTheme="minorEastAsia" w:hAnsiTheme="minorEastAsia" w:eastAsiaTheme="minorEastAsia" w:cstheme="minorEastAsia"/>
          <w:kern w:val="0"/>
          <w:sz w:val="21"/>
          <w:szCs w:val="21"/>
        </w:rPr>
        <w:t>。</w:t>
      </w:r>
    </w:p>
    <w:p>
      <w:pPr>
        <w:widowControl/>
        <w:numPr>
          <w:ilvl w:val="0"/>
          <w:numId w:val="8"/>
        </w:numPr>
        <w:spacing w:line="360" w:lineRule="auto"/>
        <w:ind w:left="425" w:leftChars="0" w:hanging="425" w:firstLineChars="0"/>
        <w:jc w:val="left"/>
        <w:rPr>
          <w:rFonts w:hint="eastAsia" w:eastAsia="宋体"/>
          <w:kern w:val="0"/>
          <w:sz w:val="21"/>
          <w:szCs w:val="21"/>
          <w:lang w:eastAsia="zh-CN"/>
        </w:rPr>
      </w:pPr>
      <w:r>
        <w:rPr>
          <w:rFonts w:hint="eastAsia" w:asciiTheme="minorEastAsia" w:hAnsiTheme="minorEastAsia" w:eastAsiaTheme="minorEastAsia" w:cstheme="minorEastAsia"/>
          <w:sz w:val="21"/>
          <w:szCs w:val="21"/>
          <w:highlight w:val="none"/>
          <w:lang w:val="en-US" w:eastAsia="zh-CN"/>
        </w:rPr>
        <w:t>交货期：45天（签定合同后）</w:t>
      </w:r>
      <w:r>
        <w:rPr>
          <w:rFonts w:hint="eastAsia" w:asciiTheme="minorEastAsia" w:hAnsiTheme="minorEastAsia" w:eastAsiaTheme="minorEastAsia" w:cstheme="minorEastAsia"/>
          <w:b w:val="0"/>
          <w:bCs w:val="0"/>
          <w:color w:val="auto"/>
          <w:kern w:val="0"/>
          <w:sz w:val="21"/>
          <w:szCs w:val="21"/>
        </w:rPr>
        <w:t>。</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9"/>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9"/>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9"/>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9"/>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9"/>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9"/>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9"/>
        </w:numPr>
        <w:spacing w:line="360" w:lineRule="auto"/>
        <w:rPr>
          <w:rFonts w:hint="eastAsia" w:hAnsi="宋体"/>
          <w:b/>
        </w:rPr>
      </w:pPr>
      <w:r>
        <w:rPr>
          <w:rFonts w:hint="eastAsia" w:hAnsi="宋体"/>
          <w:b/>
        </w:rPr>
        <w:t>评审方法：本次评审采用“综合评分法”。</w:t>
      </w:r>
    </w:p>
    <w:p>
      <w:pPr>
        <w:widowControl/>
        <w:numPr>
          <w:ilvl w:val="0"/>
          <w:numId w:val="9"/>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10"/>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3"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4" w:name="_Toc358970841"/>
      <w:r>
        <w:rPr>
          <w:rFonts w:hint="eastAsia" w:asciiTheme="minorEastAsia" w:hAnsiTheme="minorEastAsia" w:eastAsiaTheme="minorEastAsia" w:cstheme="minorEastAsia"/>
          <w:b/>
          <w:bCs/>
          <w:sz w:val="28"/>
          <w:szCs w:val="28"/>
          <w:lang w:eastAsia="zh-CN"/>
        </w:rPr>
        <w:t>报价文件格式</w:t>
      </w:r>
      <w:bookmarkEnd w:id="4"/>
    </w:p>
    <w:p>
      <w:pPr>
        <w:pStyle w:val="3"/>
        <w:spacing w:line="440" w:lineRule="exact"/>
        <w:jc w:val="center"/>
        <w:rPr>
          <w:rFonts w:hint="eastAsia"/>
        </w:rPr>
      </w:pPr>
      <w:r>
        <w:rPr>
          <w:rFonts w:hint="eastAsia"/>
        </w:rPr>
        <w:t>报价文件包装封面参考</w:t>
      </w:r>
    </w:p>
    <w:tbl>
      <w:tblPr>
        <w:tblStyle w:val="18"/>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vAlign w:val="top"/>
          </w:tcPr>
          <w:p>
            <w:pPr>
              <w:pStyle w:val="7"/>
              <w:spacing w:line="360" w:lineRule="auto"/>
              <w:ind w:firstLine="482" w:firstLineChars="150"/>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jc w:val="center"/>
              <w:rPr>
                <w:rFonts w:hint="eastAsia" w:ascii="黑体" w:eastAsia="黑体"/>
                <w:b/>
                <w:sz w:val="72"/>
                <w:szCs w:val="72"/>
              </w:rPr>
            </w:pPr>
            <w:r>
              <w:rPr>
                <w:rFonts w:hint="eastAsia" w:ascii="黑体" w:eastAsia="黑体"/>
                <w:b/>
                <w:sz w:val="72"/>
                <w:szCs w:val="72"/>
              </w:rPr>
              <w:t>报 价 文 件</w:t>
            </w:r>
          </w:p>
          <w:p>
            <w:pPr>
              <w:pStyle w:val="7"/>
              <w:spacing w:line="360" w:lineRule="auto"/>
              <w:ind w:firstLine="3654" w:firstLineChars="700"/>
              <w:rPr>
                <w:rFonts w:hint="eastAsia" w:ascii="黑体" w:eastAsia="黑体"/>
                <w:b/>
                <w:sz w:val="52"/>
                <w:szCs w:val="52"/>
              </w:rPr>
            </w:pPr>
          </w:p>
          <w:p>
            <w:pPr>
              <w:pStyle w:val="7"/>
              <w:spacing w:line="360" w:lineRule="auto"/>
              <w:ind w:firstLine="3654"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7"/>
              <w:spacing w:line="360" w:lineRule="auto"/>
              <w:ind w:firstLine="3654"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400" w:lineRule="exact"/>
              <w:ind w:firstLine="900" w:firstLineChars="320"/>
              <w:rPr>
                <w:rFonts w:hint="eastAsia" w:ascii="仿宋_GB2312" w:eastAsia="仿宋_GB2312"/>
                <w:b/>
                <w:sz w:val="28"/>
                <w:szCs w:val="28"/>
              </w:rPr>
            </w:pPr>
          </w:p>
          <w:p>
            <w:pPr>
              <w:pStyle w:val="7"/>
              <w:spacing w:line="400" w:lineRule="exact"/>
              <w:ind w:left="2280" w:leftChars="427" w:hanging="1383" w:hangingChars="492"/>
              <w:rPr>
                <w:rFonts w:hint="eastAsia" w:ascii="仿宋_GB2312" w:eastAsia="仿宋_GB2312"/>
                <w:b/>
                <w:sz w:val="28"/>
                <w:szCs w:val="28"/>
              </w:rPr>
            </w:pPr>
            <w:r>
              <w:rPr>
                <w:rFonts w:hint="eastAsia" w:ascii="仿宋_GB2312" w:eastAsia="仿宋_GB2312"/>
                <w:b/>
                <w:sz w:val="28"/>
                <w:szCs w:val="28"/>
              </w:rPr>
              <w:t>项目名称：广检集团广质院2020年</w:t>
            </w:r>
            <w:r>
              <w:rPr>
                <w:rFonts w:hint="eastAsia" w:ascii="仿宋_GB2312" w:eastAsia="仿宋_GB2312"/>
                <w:b/>
                <w:sz w:val="28"/>
                <w:szCs w:val="28"/>
                <w:lang w:val="en-US" w:eastAsia="zh-CN"/>
              </w:rPr>
              <w:t>恒温恒湿箱公开</w:t>
            </w:r>
            <w:r>
              <w:rPr>
                <w:rFonts w:hint="eastAsia" w:ascii="仿宋_GB2312" w:eastAsia="仿宋_GB2312"/>
                <w:b/>
                <w:sz w:val="28"/>
                <w:szCs w:val="28"/>
              </w:rPr>
              <w:t>竞选采购项目</w:t>
            </w:r>
          </w:p>
          <w:p>
            <w:pPr>
              <w:pStyle w:val="7"/>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竞选人名称：</w:t>
            </w:r>
          </w:p>
          <w:p>
            <w:pPr>
              <w:pStyle w:val="7"/>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5" w:name="_Toc275865604"/>
      <w:r>
        <w:rPr>
          <w:rFonts w:hint="eastAsia"/>
        </w:rPr>
        <w:t>报价文件目录表</w:t>
      </w:r>
      <w:bookmarkEnd w:id="5"/>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广检集团广质院2020年</w:t>
      </w:r>
      <w:r>
        <w:rPr>
          <w:rFonts w:hint="eastAsia" w:asciiTheme="minorEastAsia" w:hAnsiTheme="minorEastAsia" w:eastAsiaTheme="minorEastAsia" w:cstheme="minorEastAsia"/>
          <w:b/>
          <w:szCs w:val="21"/>
          <w:lang w:val="en-US" w:eastAsia="zh-CN"/>
        </w:rPr>
        <w:t>恒温恒湿箱公开</w:t>
      </w:r>
      <w:r>
        <w:rPr>
          <w:rFonts w:hint="eastAsia" w:asciiTheme="minorEastAsia" w:hAnsiTheme="minorEastAsia" w:eastAsiaTheme="minorEastAsia" w:cstheme="minorEastAsia"/>
          <w:b/>
          <w:szCs w:val="21"/>
        </w:rPr>
        <w:t>竞选采购项目</w:t>
      </w:r>
    </w:p>
    <w:tbl>
      <w:tblPr>
        <w:tblStyle w:val="18"/>
        <w:tblW w:w="9368"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9"/>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9"/>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9"/>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9"/>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2"/>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pStyle w:val="9"/>
              <w:rPr>
                <w:rFonts w:hint="eastAsia" w:hAnsi="宋体"/>
                <w:color w:val="000000"/>
                <w:kern w:val="0"/>
              </w:rPr>
            </w:pPr>
            <w:r>
              <w:rPr>
                <w:rFonts w:hint="eastAsia" w:hAnsi="宋体"/>
                <w:kern w:val="0"/>
              </w:rPr>
              <w:t>201</w:t>
            </w:r>
            <w:r>
              <w:rPr>
                <w:rFonts w:hint="eastAsia" w:hAnsi="宋体"/>
                <w:kern w:val="0"/>
                <w:lang w:val="en-US" w:eastAsia="zh-CN"/>
              </w:rPr>
              <w:t>8</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3"/>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4"/>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6" w:name="_Toc275865605"/>
      <w:r>
        <w:rPr>
          <w:rFonts w:hint="eastAsia"/>
          <w:b w:val="0"/>
        </w:rPr>
        <w:t>报  价  函</w:t>
      </w:r>
      <w:bookmarkEnd w:id="6"/>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5"/>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5"/>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5"/>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5"/>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5"/>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5"/>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5"/>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5"/>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5"/>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2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4"/>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7" w:name="_Toc275865611"/>
      <w:bookmarkStart w:id="8" w:name="_Toc192662843"/>
      <w:r>
        <w:rPr>
          <w:rFonts w:hint="eastAsia"/>
          <w:b w:val="0"/>
        </w:rPr>
        <w:t>竞选分项报价表</w:t>
      </w:r>
      <w:bookmarkEnd w:id="7"/>
      <w:bookmarkEnd w:id="8"/>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18"/>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4"/>
        </w:numPr>
        <w:spacing w:line="440" w:lineRule="exact"/>
        <w:rPr>
          <w:rFonts w:hint="eastAsia" w:ascii="黑体"/>
          <w:bCs/>
          <w:sz w:val="28"/>
        </w:rPr>
      </w:pPr>
      <w:bookmarkStart w:id="9"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9"/>
    </w:p>
    <w:p>
      <w:pPr>
        <w:spacing w:line="360" w:lineRule="auto"/>
        <w:ind w:firstLine="2855"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6"/>
        </w:numPr>
        <w:adjustRightInd w:val="0"/>
        <w:snapToGrid w:val="0"/>
        <w:spacing w:line="360" w:lineRule="auto"/>
        <w:rPr>
          <w:rFonts w:hint="eastAsia" w:ascii="宋体" w:hAnsi="宋体"/>
        </w:rPr>
      </w:pPr>
      <w:r>
        <w:rPr>
          <w:rFonts w:hint="eastAsia" w:ascii="宋体" w:hAnsi="宋体"/>
        </w:rPr>
        <w:t>货物品牌、型号。</w:t>
      </w:r>
    </w:p>
    <w:p>
      <w:pPr>
        <w:numPr>
          <w:ilvl w:val="0"/>
          <w:numId w:val="16"/>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6"/>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6"/>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6"/>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4"/>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18"/>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tcBorders>
              <w:top w:val="double" w:color="auto" w:sz="4" w:space="0"/>
            </w:tcBorders>
            <w:vAlign w:val="center"/>
          </w:tcPr>
          <w:p>
            <w:pPr>
              <w:numPr>
                <w:ilvl w:val="0"/>
                <w:numId w:val="17"/>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7"/>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0" w:name="_Toc275865615"/>
      <w:r>
        <w:rPr>
          <w:rFonts w:hint="eastAsia"/>
          <w:b w:val="0"/>
        </w:rPr>
        <w:t>售后维修/服务点证明材料</w:t>
      </w:r>
      <w:bookmarkEnd w:id="10"/>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8"/>
        </w:numPr>
        <w:spacing w:line="360" w:lineRule="auto"/>
        <w:rPr>
          <w:rFonts w:ascii="宋体" w:hAnsi="宋体" w:cs="Arial"/>
          <w:szCs w:val="21"/>
        </w:rPr>
      </w:pPr>
      <w:r>
        <w:rPr>
          <w:rFonts w:ascii="宋体" w:hAnsi="宋体" w:cs="Arial"/>
          <w:szCs w:val="21"/>
        </w:rPr>
        <w:t>公司基本情况</w:t>
      </w:r>
    </w:p>
    <w:p>
      <w:pPr>
        <w:numPr>
          <w:ilvl w:val="1"/>
          <w:numId w:val="1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8"/>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8</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18"/>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4"/>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18"/>
        <w:tblW w:w="91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pStyle w:val="9"/>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6" w:type="dxa"/>
            <w:vAlign w:val="center"/>
          </w:tcPr>
          <w:p>
            <w:pPr>
              <w:numPr>
                <w:ilvl w:val="0"/>
                <w:numId w:val="19"/>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4"/>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3"/>
    <w:p>
      <w:pPr>
        <w:numPr>
          <w:ilvl w:val="0"/>
          <w:numId w:val="20"/>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20"/>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20"/>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18"/>
        <w:tblW w:w="96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201"/>
        <w:gridCol w:w="6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201"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668" w:type="dxa"/>
            <w:vAlign w:val="center"/>
          </w:tcPr>
          <w:p>
            <w:pPr>
              <w:keepNext w:val="0"/>
              <w:keepLines w:val="0"/>
              <w:suppressLineNumbers w:val="0"/>
              <w:spacing w:before="0" w:beforeAutospacing="0" w:after="0" w:afterAutospacing="0"/>
              <w:ind w:left="-78" w:leftChars="-37" w:right="-73"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一</w:t>
            </w:r>
          </w:p>
        </w:tc>
        <w:tc>
          <w:tcPr>
            <w:tcW w:w="8869" w:type="dxa"/>
            <w:gridSpan w:val="2"/>
            <w:vAlign w:val="center"/>
          </w:tcPr>
          <w:p>
            <w:pPr>
              <w:keepNext w:val="0"/>
              <w:keepLines w:val="0"/>
              <w:suppressLineNumbers w:val="0"/>
              <w:spacing w:before="0" w:beforeAutospacing="0" w:after="0" w:afterAutospacing="0"/>
              <w:ind w:left="-78" w:leftChars="-37" w:right="-73" w:rightChars="-35"/>
              <w:jc w:val="center"/>
              <w:rPr>
                <w:rFonts w:hint="eastAsia" w:ascii="宋体" w:hAnsi="宋体" w:cs="宋体"/>
                <w:b/>
                <w:sz w:val="21"/>
                <w:szCs w:val="21"/>
              </w:rPr>
            </w:pPr>
            <w:r>
              <w:rPr>
                <w:rFonts w:hint="eastAsia" w:ascii="宋体" w:hAnsi="宋体"/>
                <w:b/>
                <w:szCs w:val="21"/>
              </w:rPr>
              <w:t>技术部分(合计</w:t>
            </w:r>
            <w:r>
              <w:rPr>
                <w:rFonts w:ascii="宋体" w:hAnsi="宋体"/>
                <w:b/>
                <w:szCs w:val="21"/>
              </w:rPr>
              <w:t>50</w:t>
            </w:r>
            <w:r>
              <w:rPr>
                <w:rFonts w:hint="eastAsia" w:ascii="宋体" w:hAnsi="宋体"/>
                <w:b/>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201"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668" w:type="dxa"/>
            <w:vAlign w:val="center"/>
          </w:tcPr>
          <w:p>
            <w:pPr>
              <w:keepNext w:val="0"/>
              <w:keepLines w:val="0"/>
              <w:suppressLineNumbers w:val="0"/>
              <w:spacing w:before="0" w:beforeAutospacing="0" w:after="0" w:afterAutospacing="0" w:line="360" w:lineRule="auto"/>
              <w:ind w:left="-78" w:leftChars="-37" w:right="-73"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8" w:leftChars="-37" w:right="-73"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8" w:leftChars="-37" w:right="-73"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eastAsia" w:ascii="宋体" w:hAnsi="宋体" w:cs="宋体"/>
                <w:b/>
                <w:kern w:val="2"/>
                <w:szCs w:val="21"/>
              </w:rPr>
              <w:t>如用户需求书中有明确要求提供证明材料的，则以用户需求书要求的为准</w:t>
            </w:r>
            <w:r>
              <w:rPr>
                <w:rFonts w:hint="eastAsia" w:ascii="宋体"/>
                <w:bCs/>
                <w:sz w:val="21"/>
                <w:szCs w:val="21"/>
              </w:rPr>
              <w:t>,</w:t>
            </w:r>
            <w:r>
              <w:rPr>
                <w:rFonts w:hint="eastAsia"/>
              </w:rPr>
              <w:t xml:space="preserve"> </w:t>
            </w:r>
            <w:r>
              <w:rPr>
                <w:rFonts w:hint="eastAsia"/>
                <w:lang w:eastAsia="zh-CN"/>
              </w:rPr>
              <w:t>竞选</w:t>
            </w:r>
            <w:r>
              <w:rPr>
                <w:rFonts w:hint="eastAsia" w:ascii="宋体" w:hAnsi="宋体" w:cs="Arial"/>
                <w:sz w:val="21"/>
                <w:szCs w:val="21"/>
              </w:rPr>
              <w:t>人须提供①</w:t>
            </w:r>
            <w:r>
              <w:rPr>
                <w:rFonts w:hint="eastAsia" w:ascii="宋体" w:hAnsi="宋体" w:cs="Arial"/>
                <w:sz w:val="21"/>
                <w:szCs w:val="21"/>
                <w:lang w:eastAsia="zh-CN"/>
              </w:rPr>
              <w:t>竞选</w:t>
            </w:r>
            <w:r>
              <w:rPr>
                <w:rFonts w:hint="eastAsia" w:ascii="宋体" w:hAnsi="宋体" w:cs="Arial"/>
                <w:sz w:val="21"/>
                <w:szCs w:val="21"/>
              </w:rPr>
              <w:t>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201"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整体实施方案</w:t>
            </w:r>
          </w:p>
          <w:p>
            <w:pPr>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668" w:type="dxa"/>
            <w:vAlign w:val="center"/>
          </w:tcPr>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整体实施方案包括但不仅限于货物生产、出厂、运输、交货、安装、质保期、维护保养方案等保障措施：</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针对本项目的整体实施方案全面、完善具体，科学合理，各阶段服务计划非常详尽，可行性高，得5分；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针对本项目的整体实施方案较为齐全、完整，较合理，各阶段服务计划较详尽，具有可行性较高，得3分；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针对本项目的整体实施方案基本齐全，基本合理，各阶段服务计划不够详尽，但可行性较低，得1分。</w:t>
            </w:r>
          </w:p>
          <w:p>
            <w:pPr>
              <w:keepNext w:val="0"/>
              <w:keepLines w:val="0"/>
              <w:widowControl/>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201" w:type="dxa"/>
            <w:vAlign w:val="center"/>
          </w:tcPr>
          <w:p>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质量保证体系及措施</w:t>
            </w:r>
          </w:p>
          <w:p>
            <w:pPr>
              <w:jc w:val="center"/>
              <w:rPr>
                <w:rFonts w:hint="default" w:cs="宋体" w:asciiTheme="minorEastAsia" w:hAnsiTheme="minorEastAsia" w:eastAsiaTheme="minorEastAsia"/>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Arial"/>
                <w:sz w:val="21"/>
                <w:szCs w:val="21"/>
                <w:lang w:val="en-US" w:eastAsia="zh-CN"/>
              </w:rPr>
              <w:t>4</w:t>
            </w:r>
            <w:r>
              <w:rPr>
                <w:rFonts w:hint="eastAsia" w:ascii="宋体" w:hAnsi="宋体"/>
                <w:sz w:val="21"/>
                <w:szCs w:val="21"/>
              </w:rPr>
              <w:t>分</w:t>
            </w:r>
            <w:r>
              <w:rPr>
                <w:rFonts w:hint="eastAsia" w:ascii="宋体" w:hAnsi="宋体" w:cs="Arial"/>
                <w:sz w:val="21"/>
                <w:szCs w:val="21"/>
              </w:rPr>
              <w:t>&gt;</w:t>
            </w:r>
          </w:p>
        </w:tc>
        <w:tc>
          <w:tcPr>
            <w:tcW w:w="6668" w:type="dxa"/>
            <w:vAlign w:val="center"/>
          </w:tcPr>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 xml:space="preserve">质量保证体系及措施包括产品的质量、因产品质量问题造成事故的责任承担及赔偿方案、产品的三包等内容： </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针对本项目质量保障体系及措施详细具体、可行性高的，得4分；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针对本项目质量保障体系及措施较详细具体、可行性较高的，得2分；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针对本项目质量保障体系及措施基本详细具体、但可行性较低的，得1分；</w:t>
            </w:r>
          </w:p>
          <w:p>
            <w:pPr>
              <w:keepNext w:val="0"/>
              <w:keepLines w:val="0"/>
              <w:widowControl/>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7"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201" w:type="dxa"/>
            <w:vAlign w:val="center"/>
          </w:tcPr>
          <w:p>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应急方案</w:t>
            </w:r>
          </w:p>
          <w:p>
            <w:pPr>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668" w:type="dxa"/>
            <w:vAlign w:val="center"/>
          </w:tcPr>
          <w:p>
            <w:pPr>
              <w:snapToGrid w:val="0"/>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应急方案包括项目执行过程中采购人的紧急情况或突发事情的处理方案：</w:t>
            </w:r>
          </w:p>
          <w:p>
            <w:pPr>
              <w:snapToGrid w:val="0"/>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w:t>
            </w:r>
            <w:r>
              <w:rPr>
                <w:rFonts w:hint="eastAsia" w:asciiTheme="minorEastAsia" w:hAnsiTheme="minorEastAsia" w:eastAsiaTheme="minorEastAsia"/>
                <w:color w:val="000000" w:themeColor="text1"/>
                <w:szCs w:val="21"/>
                <w14:textFill>
                  <w14:solidFill>
                    <w14:schemeClr w14:val="tx1"/>
                  </w14:solidFill>
                </w14:textFill>
              </w:rPr>
              <w:t>应急方案描述详细，合理性、可行性高，得</w:t>
            </w:r>
            <w:r>
              <w:rPr>
                <w:rFonts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分；</w:t>
            </w:r>
          </w:p>
          <w:p>
            <w:pPr>
              <w:snapToGrid w:val="0"/>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w:t>
            </w:r>
            <w:r>
              <w:rPr>
                <w:rFonts w:hint="eastAsia" w:asciiTheme="minorEastAsia" w:hAnsiTheme="minorEastAsia" w:eastAsiaTheme="minorEastAsia"/>
                <w:color w:val="000000" w:themeColor="text1"/>
                <w:szCs w:val="21"/>
                <w14:textFill>
                  <w14:solidFill>
                    <w14:schemeClr w14:val="tx1"/>
                  </w14:solidFill>
                </w14:textFill>
              </w:rPr>
              <w:t>应急</w:t>
            </w:r>
            <w:r>
              <w:rPr>
                <w:rFonts w:hint="eastAsia" w:cs="宋体" w:asciiTheme="minorEastAsia" w:hAnsiTheme="minorEastAsia" w:eastAsiaTheme="minorEastAsia"/>
                <w:color w:val="000000" w:themeColor="text1"/>
                <w:szCs w:val="21"/>
                <w14:textFill>
                  <w14:solidFill>
                    <w14:schemeClr w14:val="tx1"/>
                  </w14:solidFill>
                </w14:textFill>
              </w:rPr>
              <w:t>方案</w:t>
            </w:r>
            <w:r>
              <w:rPr>
                <w:rFonts w:hint="eastAsia" w:asciiTheme="minorEastAsia" w:hAnsiTheme="minorEastAsia" w:eastAsiaTheme="minorEastAsia"/>
                <w:color w:val="000000" w:themeColor="text1"/>
                <w:szCs w:val="21"/>
                <w14:textFill>
                  <w14:solidFill>
                    <w14:schemeClr w14:val="tx1"/>
                  </w14:solidFill>
                </w14:textFill>
              </w:rPr>
              <w:t>描述</w:t>
            </w:r>
            <w:r>
              <w:rPr>
                <w:rFonts w:hint="eastAsia" w:cs="宋体" w:asciiTheme="minorEastAsia" w:hAnsiTheme="minorEastAsia" w:eastAsiaTheme="minorEastAsia"/>
                <w:color w:val="000000" w:themeColor="text1"/>
                <w:szCs w:val="21"/>
                <w14:textFill>
                  <w14:solidFill>
                    <w14:schemeClr w14:val="tx1"/>
                  </w14:solidFill>
                </w14:textFill>
              </w:rPr>
              <w:t>较详细，合理</w:t>
            </w:r>
            <w:r>
              <w:rPr>
                <w:rFonts w:hint="eastAsia" w:asciiTheme="minorEastAsia" w:hAnsiTheme="minorEastAsia" w:eastAsiaTheme="minorEastAsia"/>
                <w:color w:val="000000" w:themeColor="text1"/>
                <w:szCs w:val="21"/>
                <w14:textFill>
                  <w14:solidFill>
                    <w14:schemeClr w14:val="tx1"/>
                  </w14:solidFill>
                </w14:textFill>
              </w:rPr>
              <w:t>性</w:t>
            </w:r>
            <w:r>
              <w:rPr>
                <w:rFonts w:hint="eastAsia" w:cs="宋体" w:asciiTheme="minorEastAsia" w:hAnsiTheme="minorEastAsia" w:eastAsiaTheme="minorEastAsia"/>
                <w:color w:val="000000" w:themeColor="text1"/>
                <w:szCs w:val="21"/>
                <w14:textFill>
                  <w14:solidFill>
                    <w14:schemeClr w14:val="tx1"/>
                  </w14:solidFill>
                </w14:textFill>
              </w:rPr>
              <w:t>、可行性较高，</w:t>
            </w:r>
            <w:r>
              <w:rPr>
                <w:rFonts w:hint="eastAsia" w:asciiTheme="minorEastAsia" w:hAnsiTheme="minorEastAsia" w:eastAsiaTheme="minorEastAsia"/>
                <w:color w:val="000000" w:themeColor="text1"/>
                <w:szCs w:val="21"/>
                <w:lang w:val="zh-CN"/>
                <w14:textFill>
                  <w14:solidFill>
                    <w14:schemeClr w14:val="tx1"/>
                  </w14:solidFill>
                </w14:textFill>
              </w:rPr>
              <w:t>得</w:t>
            </w:r>
            <w:r>
              <w:rPr>
                <w:rFonts w:asciiTheme="minorEastAsia" w:hAnsiTheme="minorEastAsia" w:eastAsiaTheme="minorEastAsia"/>
                <w:color w:val="000000" w:themeColor="text1"/>
                <w:szCs w:val="21"/>
                <w:lang w:val="zh-CN"/>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分；</w:t>
            </w:r>
          </w:p>
          <w:p>
            <w:pPr>
              <w:snapToGrid w:val="0"/>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w:t>
            </w:r>
            <w:r>
              <w:rPr>
                <w:rFonts w:hint="eastAsia" w:asciiTheme="minorEastAsia" w:hAnsiTheme="minorEastAsia" w:eastAsiaTheme="minorEastAsia"/>
                <w:color w:val="000000" w:themeColor="text1"/>
                <w:szCs w:val="21"/>
                <w14:textFill>
                  <w14:solidFill>
                    <w14:schemeClr w14:val="tx1"/>
                  </w14:solidFill>
                </w14:textFill>
              </w:rPr>
              <w:t>应急方案描述不够完整，合理性、可行性较低，得</w:t>
            </w:r>
            <w:r>
              <w:rPr>
                <w:rFonts w:hint="eastAsia" w:cs="宋体"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lang w:val="zh-CN"/>
                <w14:textFill>
                  <w14:solidFill>
                    <w14:schemeClr w14:val="tx1"/>
                  </w14:solidFill>
                </w14:textFill>
              </w:rPr>
              <w:t>分</w:t>
            </w:r>
            <w:r>
              <w:rPr>
                <w:rFonts w:hint="eastAsia" w:cs="宋体" w:asciiTheme="minorEastAsia" w:hAnsiTheme="minorEastAsia" w:eastAsiaTheme="minorEastAsia"/>
                <w:color w:val="000000" w:themeColor="text1"/>
                <w:szCs w:val="21"/>
                <w14:textFill>
                  <w14:solidFill>
                    <w14:schemeClr w14:val="tx1"/>
                  </w14:solidFill>
                </w14:textFill>
              </w:rPr>
              <w:t>；</w:t>
            </w:r>
          </w:p>
          <w:p>
            <w:pPr>
              <w:jc w:val="both"/>
              <w:rPr>
                <w:rFonts w:hint="default" w:ascii="宋体" w:hAnsi="宋体" w:cs="宋体"/>
                <w:sz w:val="21"/>
                <w:szCs w:val="21"/>
              </w:rPr>
            </w:pPr>
            <w:r>
              <w:rPr>
                <w:rFonts w:hint="eastAsia" w:asciiTheme="minorEastAsia" w:hAnsiTheme="minorEastAsia" w:eastAsiaTheme="minorEastAsia"/>
                <w:color w:val="000000" w:themeColor="text1"/>
                <w:szCs w:val="21"/>
                <w14:textFill>
                  <w14:solidFill>
                    <w14:schemeClr w14:val="tx1"/>
                  </w14:solidFill>
                </w14:textFill>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7"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201" w:type="dxa"/>
            <w:vAlign w:val="center"/>
          </w:tcPr>
          <w:p>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验收方案</w:t>
            </w:r>
          </w:p>
          <w:p>
            <w:pPr>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668" w:type="dxa"/>
            <w:vAlign w:val="center"/>
          </w:tcPr>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验收方案包括验收依据和相关的技术标准、验收的组织形式、程序、注意事项、验收环节和内容；</w:t>
            </w:r>
          </w:p>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针对本项目验收方案全面完善、作出计划保障可行性高，得</w:t>
            </w:r>
            <w:r>
              <w:rPr>
                <w:rFonts w:cs="宋体"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 xml:space="preserve">分。 </w:t>
            </w:r>
          </w:p>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针对本项目验收方案不够完善、作出计划保障可行性较高，得</w:t>
            </w:r>
            <w:r>
              <w:rPr>
                <w:rFonts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分。</w:t>
            </w:r>
          </w:p>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针对本项目验收方案基本完成、作出计划保障可行性较低，得1分。</w:t>
            </w:r>
          </w:p>
          <w:p>
            <w:pPr>
              <w:jc w:val="both"/>
              <w:rPr>
                <w:rFonts w:hint="default" w:ascii="宋体"/>
                <w:sz w:val="21"/>
                <w:szCs w:val="21"/>
              </w:rPr>
            </w:pPr>
            <w:r>
              <w:rPr>
                <w:rFonts w:hint="eastAsia" w:asciiTheme="minorEastAsia" w:hAnsiTheme="minorEastAsia" w:eastAsiaTheme="minorEastAsia"/>
                <w:color w:val="000000" w:themeColor="text1"/>
                <w:szCs w:val="21"/>
                <w14:textFill>
                  <w14:solidFill>
                    <w14:schemeClr w14:val="tx1"/>
                  </w14:solidFill>
                </w14:textFill>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2" w:type="dxa"/>
            <w:vAlign w:val="center"/>
          </w:tcPr>
          <w:p>
            <w:pPr>
              <w:pStyle w:val="102"/>
              <w:autoSpaceDE/>
              <w:autoSpaceDN/>
              <w:adjustRightInd/>
              <w:ind w:firstLine="0" w:firstLineChars="0"/>
              <w:jc w:val="center"/>
              <w:rPr>
                <w:rFonts w:hint="eastAsia" w:ascii="宋体" w:hAnsi="宋体" w:cs="宋体"/>
                <w:sz w:val="21"/>
                <w:szCs w:val="21"/>
              </w:rPr>
            </w:pPr>
            <w:r>
              <w:rPr>
                <w:rFonts w:hint="eastAsia" w:ascii="宋体" w:hAnsi="宋体"/>
                <w:b/>
                <w:szCs w:val="21"/>
              </w:rPr>
              <w:t>二</w:t>
            </w:r>
          </w:p>
        </w:tc>
        <w:tc>
          <w:tcPr>
            <w:tcW w:w="8869" w:type="dxa"/>
            <w:gridSpan w:val="2"/>
            <w:vAlign w:val="center"/>
          </w:tcPr>
          <w:p>
            <w:pPr>
              <w:pStyle w:val="102"/>
              <w:autoSpaceDE/>
              <w:autoSpaceDN/>
              <w:adjustRightInd/>
              <w:ind w:firstLine="0" w:firstLineChars="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b/>
                <w:bCs w:val="0"/>
                <w:szCs w:val="21"/>
              </w:rPr>
              <w:t>商务部分(合计</w:t>
            </w:r>
            <w:r>
              <w:rPr>
                <w:rFonts w:ascii="宋体" w:hAnsi="宋体"/>
                <w:b/>
                <w:bCs w:val="0"/>
                <w:szCs w:val="21"/>
              </w:rPr>
              <w:t>20</w:t>
            </w:r>
            <w:r>
              <w:rPr>
                <w:rFonts w:hint="eastAsia" w:ascii="宋体" w:hAnsi="宋体"/>
                <w:b/>
                <w:bCs w:val="0"/>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0"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201" w:type="dxa"/>
            <w:vAlign w:val="center"/>
          </w:tcPr>
          <w:p>
            <w:pPr>
              <w:ind w:right="-88" w:rightChars="-42"/>
              <w:jc w:val="center"/>
              <w:rPr>
                <w:rFonts w:hint="eastAsia" w:ascii="宋体" w:hAnsi="宋体" w:cs="宋体"/>
                <w:szCs w:val="21"/>
              </w:rPr>
            </w:pPr>
            <w:r>
              <w:rPr>
                <w:rFonts w:hint="eastAsia" w:ascii="宋体" w:hAnsi="宋体" w:cs="宋体"/>
                <w:szCs w:val="21"/>
              </w:rPr>
              <w:t>同类项目业绩经验情况</w:t>
            </w:r>
          </w:p>
          <w:p>
            <w:pPr>
              <w:ind w:right="-88" w:rightChars="-42"/>
              <w:jc w:val="center"/>
              <w:rPr>
                <w:rFonts w:hint="default" w:ascii="宋体" w:hAnsi="宋体" w:cs="宋体"/>
                <w:szCs w:val="21"/>
              </w:rPr>
            </w:pPr>
            <w:r>
              <w:rPr>
                <w:rFonts w:hint="eastAsia" w:ascii="宋体" w:hAnsi="宋体" w:cs="Arial"/>
                <w:sz w:val="21"/>
                <w:szCs w:val="21"/>
              </w:rPr>
              <w:t>&lt;</w:t>
            </w:r>
            <w:r>
              <w:rPr>
                <w:rFonts w:hint="eastAsia" w:ascii="宋体" w:hAnsi="宋体" w:cs="Arial"/>
                <w:sz w:val="21"/>
                <w:szCs w:val="21"/>
                <w:lang w:val="en-US" w:eastAsia="zh-CN"/>
              </w:rPr>
              <w:t>8</w:t>
            </w:r>
            <w:r>
              <w:rPr>
                <w:rFonts w:hint="eastAsia" w:ascii="宋体" w:hAnsi="宋体"/>
                <w:sz w:val="21"/>
                <w:szCs w:val="21"/>
              </w:rPr>
              <w:t>分</w:t>
            </w:r>
            <w:r>
              <w:rPr>
                <w:rFonts w:hint="eastAsia" w:ascii="宋体" w:hAnsi="宋体" w:cs="Arial"/>
                <w:sz w:val="21"/>
                <w:szCs w:val="21"/>
              </w:rPr>
              <w:t>&gt;</w:t>
            </w:r>
          </w:p>
        </w:tc>
        <w:tc>
          <w:tcPr>
            <w:tcW w:w="6668" w:type="dxa"/>
            <w:vAlign w:val="center"/>
          </w:tcPr>
          <w:p>
            <w:pPr>
              <w:ind w:left="-63" w:leftChars="-30" w:right="-88" w:rightChars="-42"/>
              <w:jc w:val="both"/>
              <w:rPr>
                <w:rFonts w:ascii="宋体" w:hAnsi="宋体" w:cs="宋体"/>
                <w:szCs w:val="21"/>
              </w:rPr>
            </w:pPr>
            <w:r>
              <w:rPr>
                <w:rFonts w:hint="eastAsia" w:ascii="宋体" w:hAnsi="宋体" w:cs="宋体"/>
                <w:szCs w:val="21"/>
                <w:lang w:val="en-US" w:eastAsia="zh-CN"/>
              </w:rPr>
              <w:t>竞选</w:t>
            </w:r>
            <w:r>
              <w:rPr>
                <w:rFonts w:hint="eastAsia" w:ascii="宋体" w:hAnsi="宋体" w:cs="宋体"/>
                <w:szCs w:val="21"/>
              </w:rPr>
              <w:t>人2</w:t>
            </w:r>
            <w:r>
              <w:rPr>
                <w:rFonts w:ascii="宋体" w:hAnsi="宋体" w:cs="宋体"/>
                <w:szCs w:val="21"/>
              </w:rPr>
              <w:t>01</w:t>
            </w:r>
            <w:r>
              <w:rPr>
                <w:rFonts w:hint="eastAsia" w:ascii="宋体" w:hAnsi="宋体" w:cs="宋体"/>
                <w:szCs w:val="21"/>
                <w:lang w:val="en-US" w:eastAsia="zh-CN"/>
              </w:rPr>
              <w:t>8</w:t>
            </w:r>
            <w:r>
              <w:rPr>
                <w:rFonts w:hint="eastAsia" w:ascii="宋体" w:hAnsi="宋体" w:cs="宋体"/>
                <w:szCs w:val="21"/>
              </w:rPr>
              <w:t>年1月1日至今承担过的同类项目业绩经验，每提供一项得</w:t>
            </w:r>
            <w:r>
              <w:rPr>
                <w:rFonts w:ascii="宋体" w:hAnsi="宋体" w:cs="宋体"/>
                <w:szCs w:val="21"/>
              </w:rPr>
              <w:t>1</w:t>
            </w:r>
            <w:r>
              <w:rPr>
                <w:rFonts w:hint="eastAsia" w:ascii="宋体" w:hAnsi="宋体" w:cs="宋体"/>
                <w:szCs w:val="21"/>
              </w:rPr>
              <w:t>分，本项最高得</w:t>
            </w:r>
            <w:r>
              <w:rPr>
                <w:rFonts w:hint="eastAsia" w:ascii="宋体" w:hAnsi="宋体" w:cs="宋体"/>
                <w:szCs w:val="21"/>
                <w:lang w:val="en-US" w:eastAsia="zh-CN"/>
              </w:rPr>
              <w:t>8</w:t>
            </w:r>
            <w:r>
              <w:rPr>
                <w:rFonts w:hint="eastAsia" w:ascii="宋体" w:hAnsi="宋体" w:cs="宋体"/>
                <w:szCs w:val="21"/>
              </w:rPr>
              <w:t>分。</w:t>
            </w:r>
          </w:p>
          <w:p>
            <w:pPr>
              <w:ind w:left="-63" w:leftChars="-30" w:right="-88" w:rightChars="-42"/>
              <w:jc w:val="both"/>
              <w:rPr>
                <w:rFonts w:hint="default" w:ascii="宋体" w:hAnsi="宋体" w:cs="Arial"/>
                <w:sz w:val="21"/>
                <w:szCs w:val="21"/>
              </w:rPr>
            </w:pPr>
            <w:r>
              <w:rPr>
                <w:rFonts w:hint="eastAsia" w:ascii="宋体" w:hAnsi="宋体" w:cs="宋体"/>
                <w:szCs w:val="21"/>
              </w:rPr>
              <w:t>请附上合同关键页（含签订合同双方的单位名称、合同项目名称、签订合同双方的落款盖章、签订日期的关键页）复印件作为同类业绩评价证明资料。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2201" w:type="dxa"/>
            <w:vAlign w:val="center"/>
          </w:tcPr>
          <w:p>
            <w:pPr>
              <w:ind w:right="-88" w:rightChars="-42"/>
              <w:jc w:val="center"/>
              <w:rPr>
                <w:rFonts w:hint="eastAsia" w:ascii="宋体" w:hAnsi="宋体" w:cs="宋体"/>
                <w:szCs w:val="21"/>
              </w:rPr>
            </w:pPr>
            <w:r>
              <w:rPr>
                <w:rFonts w:hint="eastAsia" w:ascii="宋体" w:hAnsi="宋体" w:cs="宋体"/>
                <w:szCs w:val="21"/>
                <w:lang w:eastAsia="zh-CN"/>
              </w:rPr>
              <w:t>竞选</w:t>
            </w:r>
            <w:r>
              <w:rPr>
                <w:rFonts w:hint="eastAsia" w:ascii="宋体" w:hAnsi="宋体" w:cs="宋体"/>
                <w:szCs w:val="21"/>
              </w:rPr>
              <w:t>人具有质量管理体系认证情况</w:t>
            </w:r>
          </w:p>
          <w:p>
            <w:pPr>
              <w:ind w:right="-88" w:rightChars="-42"/>
              <w:jc w:val="center"/>
              <w:rPr>
                <w:rFonts w:hint="eastAsia" w:ascii="宋体" w:hAnsi="宋体" w:cs="宋体"/>
                <w:szCs w:val="21"/>
              </w:rPr>
            </w:pPr>
            <w:r>
              <w:rPr>
                <w:rFonts w:hint="eastAsia" w:ascii="宋体" w:hAnsi="宋体" w:cs="宋体"/>
                <w:szCs w:val="21"/>
              </w:rPr>
              <w:t>&lt;</w:t>
            </w:r>
            <w:r>
              <w:rPr>
                <w:rFonts w:hint="eastAsia" w:ascii="宋体" w:hAnsi="宋体" w:cs="宋体"/>
                <w:szCs w:val="21"/>
                <w:lang w:val="en-US" w:eastAsia="zh-CN"/>
              </w:rPr>
              <w:t>2</w:t>
            </w:r>
            <w:r>
              <w:rPr>
                <w:rFonts w:hint="eastAsia" w:ascii="宋体" w:hAnsi="宋体" w:cs="宋体"/>
                <w:szCs w:val="21"/>
              </w:rPr>
              <w:t>分&gt;</w:t>
            </w:r>
          </w:p>
        </w:tc>
        <w:tc>
          <w:tcPr>
            <w:tcW w:w="6668" w:type="dxa"/>
            <w:vAlign w:val="center"/>
          </w:tcPr>
          <w:p>
            <w:pPr>
              <w:ind w:left="-63" w:leftChars="-30" w:right="-88" w:rightChars="-42"/>
              <w:jc w:val="both"/>
              <w:rPr>
                <w:rFonts w:hint="eastAsia" w:ascii="宋体" w:hAnsi="宋体" w:cs="宋体"/>
                <w:szCs w:val="21"/>
              </w:rPr>
            </w:pPr>
            <w:r>
              <w:rPr>
                <w:rFonts w:hint="eastAsia" w:ascii="宋体" w:hAnsi="宋体" w:cs="Arial"/>
                <w:szCs w:val="21"/>
              </w:rPr>
              <w:t>1.</w:t>
            </w:r>
            <w:r>
              <w:rPr>
                <w:rFonts w:hint="eastAsia"/>
              </w:rPr>
              <w:t xml:space="preserve"> </w:t>
            </w:r>
            <w:r>
              <w:rPr>
                <w:rFonts w:hint="eastAsia" w:ascii="宋体" w:hAnsi="宋体" w:cs="Arial"/>
                <w:szCs w:val="21"/>
                <w:lang w:eastAsia="zh-CN"/>
              </w:rPr>
              <w:t>竞选</w:t>
            </w:r>
            <w:r>
              <w:rPr>
                <w:rFonts w:hint="eastAsia" w:ascii="宋体" w:hAnsi="宋体" w:cs="宋体"/>
                <w:szCs w:val="21"/>
              </w:rPr>
              <w:t>人具有质量管理体系认证，得1分；</w:t>
            </w:r>
          </w:p>
          <w:p>
            <w:pPr>
              <w:ind w:left="-63" w:leftChars="-30" w:right="-88" w:rightChars="-42"/>
              <w:jc w:val="both"/>
              <w:rPr>
                <w:rFonts w:hint="eastAsia" w:ascii="宋体" w:hAnsi="宋体" w:cs="宋体"/>
                <w:szCs w:val="21"/>
              </w:rPr>
            </w:pPr>
            <w:r>
              <w:rPr>
                <w:rFonts w:hint="eastAsia" w:ascii="宋体" w:hAnsi="宋体" w:cs="宋体"/>
                <w:szCs w:val="21"/>
              </w:rPr>
              <w:t xml:space="preserve">2. </w:t>
            </w:r>
            <w:r>
              <w:rPr>
                <w:rFonts w:hint="eastAsia" w:ascii="宋体" w:hAnsi="宋体" w:cs="宋体"/>
                <w:szCs w:val="21"/>
                <w:lang w:eastAsia="zh-CN"/>
              </w:rPr>
              <w:t>竞选</w:t>
            </w:r>
            <w:r>
              <w:rPr>
                <w:rFonts w:hint="eastAsia" w:ascii="宋体" w:hAnsi="宋体" w:cs="宋体"/>
                <w:szCs w:val="21"/>
              </w:rPr>
              <w:t>人具有环境管理体系认证，得1分。</w:t>
            </w:r>
          </w:p>
          <w:p>
            <w:pPr>
              <w:spacing w:line="360" w:lineRule="auto"/>
              <w:rPr>
                <w:rFonts w:hint="eastAsia" w:ascii="宋体" w:hAnsi="宋体" w:cs="宋体"/>
                <w:szCs w:val="21"/>
              </w:rPr>
            </w:pPr>
            <w:r>
              <w:rPr>
                <w:rFonts w:ascii="宋体" w:hAnsi="宋体" w:cs="Arial"/>
                <w:b/>
                <w:bCs/>
                <w:szCs w:val="21"/>
              </w:rPr>
              <w:t>（</w:t>
            </w:r>
            <w:r>
              <w:rPr>
                <w:rFonts w:hint="eastAsia" w:ascii="宋体" w:hAnsi="宋体" w:cs="Tahoma"/>
                <w:b/>
                <w:bCs/>
                <w:color w:val="000000"/>
                <w:szCs w:val="21"/>
              </w:rPr>
              <w:t>最高得2分，需提供有效的证书复印件，不提供不得分</w:t>
            </w:r>
            <w:r>
              <w:rPr>
                <w:rFonts w:ascii="宋体" w:hAnsi="宋体" w:cs="Arial"/>
                <w:b/>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2201" w:type="dxa"/>
            <w:vAlign w:val="center"/>
          </w:tcPr>
          <w:p>
            <w:pPr>
              <w:jc w:val="center"/>
              <w:rPr>
                <w:rFonts w:hint="eastAsia" w:hAnsi="宋体"/>
              </w:rPr>
            </w:pPr>
            <w:r>
              <w:rPr>
                <w:rFonts w:hint="eastAsia" w:hAnsi="宋体"/>
              </w:rPr>
              <w:t>质量保证期</w:t>
            </w:r>
          </w:p>
          <w:p>
            <w:pPr>
              <w:jc w:val="center"/>
              <w:rPr>
                <w:rFonts w:hint="default" w:hAnsi="宋体"/>
              </w:rPr>
            </w:pPr>
            <w:r>
              <w:rPr>
                <w:rFonts w:hint="eastAsia" w:ascii="宋体" w:hAnsi="宋体" w:cs="Arial"/>
                <w:sz w:val="21"/>
                <w:szCs w:val="21"/>
              </w:rPr>
              <w:t>&lt;</w:t>
            </w:r>
            <w:r>
              <w:rPr>
                <w:rFonts w:hint="eastAsia" w:ascii="宋体" w:hAnsi="宋体" w:cs="Arial"/>
                <w:sz w:val="21"/>
                <w:szCs w:val="21"/>
                <w:lang w:val="en-US" w:eastAsia="zh-CN"/>
              </w:rPr>
              <w:t>4</w:t>
            </w:r>
            <w:r>
              <w:rPr>
                <w:rFonts w:hint="eastAsia" w:ascii="宋体" w:hAnsi="宋体"/>
                <w:sz w:val="21"/>
                <w:szCs w:val="21"/>
              </w:rPr>
              <w:t>分</w:t>
            </w:r>
            <w:r>
              <w:rPr>
                <w:rFonts w:hint="eastAsia" w:ascii="宋体" w:hAnsi="宋体" w:cs="Arial"/>
                <w:sz w:val="21"/>
                <w:szCs w:val="21"/>
              </w:rPr>
              <w:t>&gt;</w:t>
            </w:r>
          </w:p>
        </w:tc>
        <w:tc>
          <w:tcPr>
            <w:tcW w:w="6668" w:type="dxa"/>
            <w:vAlign w:val="center"/>
          </w:tcPr>
          <w:p>
            <w:pPr>
              <w:ind w:left="-78" w:leftChars="-37" w:right="-73" w:rightChars="-35"/>
              <w:rPr>
                <w:rFonts w:hAnsi="宋体"/>
              </w:rPr>
            </w:pPr>
            <w:r>
              <w:rPr>
                <w:rFonts w:hint="eastAsia" w:ascii="宋体" w:hAnsi="宋体" w:cs="宋体"/>
                <w:szCs w:val="21"/>
                <w:lang w:val="en-US" w:eastAsia="zh-CN"/>
              </w:rPr>
              <w:t>竞选</w:t>
            </w:r>
            <w:r>
              <w:rPr>
                <w:rFonts w:hint="eastAsia" w:ascii="宋体" w:hAnsi="宋体" w:cs="宋体"/>
                <w:szCs w:val="21"/>
              </w:rPr>
              <w:t>人</w:t>
            </w:r>
            <w:r>
              <w:rPr>
                <w:rFonts w:hint="eastAsia" w:hAnsi="宋体"/>
              </w:rPr>
              <w:t>提供本项目的质量保证期：</w:t>
            </w:r>
          </w:p>
          <w:p>
            <w:pPr>
              <w:ind w:left="-78" w:leftChars="-37" w:right="-73" w:rightChars="-35"/>
              <w:rPr>
                <w:rFonts w:ascii="宋体" w:hAnsi="宋体" w:cs="宋体"/>
                <w:color w:val="000000" w:themeColor="text1"/>
                <w:szCs w:val="21"/>
                <w14:textFill>
                  <w14:solidFill>
                    <w14:schemeClr w14:val="tx1"/>
                  </w14:solidFill>
                </w14:textFill>
              </w:rPr>
            </w:pPr>
            <w:r>
              <w:rPr>
                <w:rFonts w:hint="eastAsia" w:hAnsi="宋体"/>
              </w:rPr>
              <w:t>质量保证期</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个月，得</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p>
            <w:pPr>
              <w:ind w:left="-78" w:leftChars="-37" w:right="-73" w:rightChars="-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12个月＜</w:t>
            </w:r>
            <w:r>
              <w:rPr>
                <w:rFonts w:hint="eastAsia" w:hAnsi="宋体"/>
              </w:rPr>
              <w:t>质量保证期</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个月，得2分；</w:t>
            </w:r>
          </w:p>
          <w:p>
            <w:pPr>
              <w:ind w:left="-78" w:leftChars="-37" w:right="-73" w:rightChars="-35"/>
              <w:rPr>
                <w:rFonts w:ascii="宋体" w:hAnsi="宋体" w:cs="宋体"/>
                <w:color w:val="000000" w:themeColor="text1"/>
                <w:szCs w:val="21"/>
                <w14:textFill>
                  <w14:solidFill>
                    <w14:schemeClr w14:val="tx1"/>
                  </w14:solidFill>
                </w14:textFill>
              </w:rPr>
            </w:pPr>
            <w:r>
              <w:rPr>
                <w:rFonts w:hint="eastAsia" w:hAnsi="宋体"/>
              </w:rPr>
              <w:t>质量保证期</w:t>
            </w:r>
            <w:r>
              <w:rPr>
                <w:rFonts w:hint="eastAsia" w:ascii="宋体" w:hAnsi="宋体" w:cs="宋体"/>
                <w:color w:val="000000" w:themeColor="text1"/>
                <w:szCs w:val="21"/>
                <w14:textFill>
                  <w14:solidFill>
                    <w14:schemeClr w14:val="tx1"/>
                  </w14:solidFill>
                </w14:textFill>
              </w:rPr>
              <w:t>1年得1分。</w:t>
            </w:r>
          </w:p>
          <w:p>
            <w:pPr>
              <w:ind w:left="-78" w:leftChars="-37" w:right="-73" w:rightChars="-35"/>
              <w:rPr>
                <w:rFonts w:ascii="宋体" w:hAnsi="宋体" w:cs="宋体"/>
                <w:color w:val="000000" w:themeColor="text1"/>
                <w:szCs w:val="21"/>
                <w14:textFill>
                  <w14:solidFill>
                    <w14:schemeClr w14:val="tx1"/>
                  </w14:solidFill>
                </w14:textFill>
              </w:rPr>
            </w:pPr>
            <w:r>
              <w:rPr>
                <w:rFonts w:hint="eastAsia" w:hAnsi="宋体"/>
              </w:rPr>
              <w:t>质量保证期</w:t>
            </w:r>
            <w:r>
              <w:rPr>
                <w:rFonts w:hint="eastAsia" w:ascii="宋体" w:hAnsi="宋体" w:cs="宋体"/>
                <w:color w:val="000000" w:themeColor="text1"/>
                <w:szCs w:val="21"/>
                <w14:textFill>
                  <w14:solidFill>
                    <w14:schemeClr w14:val="tx1"/>
                  </w14:solidFill>
                </w14:textFill>
              </w:rPr>
              <w:t>＜12个月不得分。</w:t>
            </w:r>
          </w:p>
          <w:p>
            <w:pPr>
              <w:ind w:left="-78" w:leftChars="-37" w:right="-73" w:rightChars="-35"/>
              <w:jc w:val="both"/>
              <w:rPr>
                <w:rFonts w:hint="default" w:ascii="宋体" w:hAnsi="宋体" w:cs="Arial"/>
                <w:sz w:val="21"/>
                <w:szCs w:val="21"/>
              </w:rPr>
            </w:pPr>
            <w:r>
              <w:rPr>
                <w:rFonts w:hint="eastAsia" w:cs="Arial" w:asciiTheme="minorEastAsia" w:hAnsiTheme="minorEastAsia" w:eastAsiaTheme="minorEastAsia"/>
                <w:color w:val="000000" w:themeColor="text1"/>
                <w:szCs w:val="21"/>
                <w:lang w:val="zh-CN"/>
                <w14:textFill>
                  <w14:solidFill>
                    <w14:schemeClr w14:val="tx1"/>
                  </w14:solidFill>
                </w14:textFill>
              </w:rPr>
              <w:t>备注：</w:t>
            </w:r>
            <w:r>
              <w:rPr>
                <w:rFonts w:hint="eastAsia" w:ascii="宋体" w:hAnsi="宋体" w:cs="Tahoma"/>
                <w:color w:val="000000" w:themeColor="text1"/>
                <w:szCs w:val="21"/>
                <w14:textFill>
                  <w14:solidFill>
                    <w14:schemeClr w14:val="tx1"/>
                  </w14:solidFill>
                </w14:textFill>
              </w:rPr>
              <w:t>最高得</w:t>
            </w: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r>
              <w:rPr>
                <w:rFonts w:hint="eastAsia" w:cs="Arial" w:asciiTheme="minorEastAsia" w:hAnsiTheme="minorEastAsia" w:eastAsiaTheme="minorEastAsia"/>
                <w:color w:val="000000" w:themeColor="text1"/>
                <w:szCs w:val="21"/>
                <w:lang w:val="zh-CN"/>
                <w14:textFill>
                  <w14:solidFill>
                    <w14:schemeClr w14:val="tx1"/>
                  </w14:solidFill>
                </w14:textFill>
              </w:rPr>
              <w:t>竞选人提供质量保证承诺书，格式自拟，不提供不得分。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2201" w:type="dxa"/>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售后服务响应情况</w:t>
            </w:r>
          </w:p>
          <w:p>
            <w:pPr>
              <w:jc w:val="center"/>
              <w:rPr>
                <w:rFonts w:hint="default" w:ascii="宋体" w:hAnsi="宋体"/>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Arial"/>
                <w:sz w:val="21"/>
                <w:szCs w:val="21"/>
                <w:lang w:val="en-US" w:eastAsia="zh-CN"/>
              </w:rPr>
              <w:t>4</w:t>
            </w:r>
            <w:r>
              <w:rPr>
                <w:rFonts w:hint="eastAsia" w:ascii="宋体" w:hAnsi="宋体"/>
                <w:sz w:val="21"/>
                <w:szCs w:val="21"/>
              </w:rPr>
              <w:t>分</w:t>
            </w:r>
            <w:r>
              <w:rPr>
                <w:rFonts w:hint="eastAsia" w:ascii="宋体" w:hAnsi="宋体" w:cs="Arial"/>
                <w:sz w:val="21"/>
                <w:szCs w:val="21"/>
              </w:rPr>
              <w:t>&gt;</w:t>
            </w:r>
          </w:p>
        </w:tc>
        <w:tc>
          <w:tcPr>
            <w:tcW w:w="6668" w:type="dxa"/>
            <w:vAlign w:val="center"/>
          </w:tcPr>
          <w:p>
            <w:pPr>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lang w:eastAsia="zh-CN"/>
                <w14:textFill>
                  <w14:solidFill>
                    <w14:schemeClr w14:val="tx1"/>
                  </w14:solidFill>
                </w14:textFill>
              </w:rPr>
              <w:t>竞选</w:t>
            </w:r>
            <w:r>
              <w:rPr>
                <w:rFonts w:hint="eastAsia" w:ascii="宋体" w:hAnsi="宋体" w:cs="Tahoma"/>
                <w:color w:val="000000" w:themeColor="text1"/>
                <w:szCs w:val="21"/>
                <w14:textFill>
                  <w14:solidFill>
                    <w14:schemeClr w14:val="tx1"/>
                  </w14:solidFill>
                </w14:textFill>
              </w:rPr>
              <w:t>人的售后服务响应情况：</w:t>
            </w:r>
          </w:p>
          <w:p>
            <w:pPr>
              <w:rPr>
                <w:rFonts w:ascii="宋体" w:hAns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8</w:t>
            </w:r>
            <w:r>
              <w:rPr>
                <w:rFonts w:hint="eastAsia" w:ascii="宋体" w:hAnsi="宋体" w:cs="Tahoma"/>
                <w:color w:val="000000" w:themeColor="text1"/>
                <w:szCs w:val="21"/>
                <w14:textFill>
                  <w14:solidFill>
                    <w14:schemeClr w14:val="tx1"/>
                  </w14:solidFill>
                </w14:textFill>
              </w:rPr>
              <w:t>小时内（含）能到场服务，得</w:t>
            </w: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p>
          <w:p>
            <w:pPr>
              <w:rPr>
                <w:rFonts w:ascii="宋体" w:hAns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8</w:t>
            </w:r>
            <w:r>
              <w:rPr>
                <w:rFonts w:hint="eastAsia" w:ascii="宋体" w:hAnsi="宋体" w:cs="Tahoma"/>
                <w:color w:val="000000" w:themeColor="text1"/>
                <w:szCs w:val="21"/>
                <w14:textFill>
                  <w14:solidFill>
                    <w14:schemeClr w14:val="tx1"/>
                  </w14:solidFill>
                </w14:textFill>
              </w:rPr>
              <w:t>小时＜到场服务</w:t>
            </w:r>
            <w:r>
              <w:rPr>
                <w:rFonts w:hint="eastAsia"/>
              </w:rPr>
              <w:t>≤</w:t>
            </w:r>
            <w:r>
              <w:rPr>
                <w:rFonts w:ascii="宋体" w:hAnsi="宋体" w:cs="Tahoma"/>
                <w:color w:val="000000" w:themeColor="text1"/>
                <w:szCs w:val="21"/>
                <w14:textFill>
                  <w14:solidFill>
                    <w14:schemeClr w14:val="tx1"/>
                  </w14:solidFill>
                </w14:textFill>
              </w:rPr>
              <w:t>16</w:t>
            </w:r>
            <w:r>
              <w:rPr>
                <w:rFonts w:hint="eastAsia" w:ascii="宋体" w:hAnsi="宋体" w:cs="Tahoma"/>
                <w:color w:val="000000" w:themeColor="text1"/>
                <w:szCs w:val="21"/>
                <w14:textFill>
                  <w14:solidFill>
                    <w14:schemeClr w14:val="tx1"/>
                  </w14:solidFill>
                </w14:textFill>
              </w:rPr>
              <w:t>小时，得</w:t>
            </w:r>
            <w:r>
              <w:rPr>
                <w:rFonts w:ascii="宋体" w:hAnsi="宋体" w:cs="Tahoma"/>
                <w:color w:val="000000" w:themeColor="text1"/>
                <w:szCs w:val="21"/>
                <w14:textFill>
                  <w14:solidFill>
                    <w14:schemeClr w14:val="tx1"/>
                  </w14:solidFill>
                </w14:textFill>
              </w:rPr>
              <w:t>2</w:t>
            </w:r>
            <w:r>
              <w:rPr>
                <w:rFonts w:hint="eastAsia" w:ascii="宋体" w:hAnsi="宋体" w:cs="Tahoma"/>
                <w:color w:val="000000" w:themeColor="text1"/>
                <w:szCs w:val="21"/>
                <w14:textFill>
                  <w14:solidFill>
                    <w14:schemeClr w14:val="tx1"/>
                  </w14:solidFill>
                </w14:textFill>
              </w:rPr>
              <w:t>分；</w:t>
            </w:r>
          </w:p>
          <w:p>
            <w:pPr>
              <w:rPr>
                <w:rFonts w:ascii="宋体" w:hAns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16</w:t>
            </w:r>
            <w:r>
              <w:rPr>
                <w:rFonts w:hint="eastAsia" w:ascii="宋体" w:hAnsi="宋体" w:cs="Tahoma"/>
                <w:color w:val="000000" w:themeColor="text1"/>
                <w:szCs w:val="21"/>
                <w14:textFill>
                  <w14:solidFill>
                    <w14:schemeClr w14:val="tx1"/>
                  </w14:solidFill>
                </w14:textFill>
              </w:rPr>
              <w:t>小时＜到场服务＜</w:t>
            </w:r>
            <w:r>
              <w:rPr>
                <w:rFonts w:ascii="宋体" w:hAnsi="宋体" w:cs="Tahoma"/>
                <w:color w:val="000000" w:themeColor="text1"/>
                <w:szCs w:val="21"/>
                <w14:textFill>
                  <w14:solidFill>
                    <w14:schemeClr w14:val="tx1"/>
                  </w14:solidFill>
                </w14:textFill>
              </w:rPr>
              <w:t>24</w:t>
            </w:r>
            <w:r>
              <w:rPr>
                <w:rFonts w:hint="eastAsia" w:ascii="宋体" w:hAnsi="宋体" w:cs="Tahoma"/>
                <w:color w:val="000000" w:themeColor="text1"/>
                <w:szCs w:val="21"/>
                <w14:textFill>
                  <w14:solidFill>
                    <w14:schemeClr w14:val="tx1"/>
                  </w14:solidFill>
                </w14:textFill>
              </w:rPr>
              <w:t>小时，得1分；</w:t>
            </w:r>
          </w:p>
          <w:p>
            <w:pPr>
              <w:ind w:left="-78" w:leftChars="-37" w:right="-73" w:rightChars="-35" w:firstLine="105" w:firstLineChars="5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w:t>
            </w:r>
            <w:r>
              <w:rPr>
                <w:rFonts w:ascii="宋体" w:hAnsi="宋体" w:cs="Tahoma"/>
                <w:color w:val="000000" w:themeColor="text1"/>
                <w:szCs w:val="21"/>
                <w14:textFill>
                  <w14:solidFill>
                    <w14:schemeClr w14:val="tx1"/>
                  </w14:solidFill>
                </w14:textFill>
              </w:rPr>
              <w:t>24</w:t>
            </w:r>
            <w:r>
              <w:rPr>
                <w:rFonts w:hint="eastAsia" w:ascii="宋体" w:hAnsi="宋体" w:cs="Tahoma"/>
                <w:color w:val="000000" w:themeColor="text1"/>
                <w:szCs w:val="21"/>
                <w14:textFill>
                  <w14:solidFill>
                    <w14:schemeClr w14:val="tx1"/>
                  </w14:solidFill>
                </w14:textFill>
              </w:rPr>
              <w:t>小时到现场服务，得0分。</w:t>
            </w:r>
          </w:p>
          <w:p>
            <w:pPr>
              <w:ind w:left="-78" w:leftChars="-37" w:right="-73" w:rightChars="-35"/>
              <w:jc w:val="both"/>
              <w:rPr>
                <w:rFonts w:hint="default" w:ascii="宋体" w:hAnsi="宋体" w:cs="宋体"/>
                <w:sz w:val="21"/>
                <w:szCs w:val="21"/>
              </w:rPr>
            </w:pPr>
            <w:r>
              <w:rPr>
                <w:rFonts w:hint="eastAsia" w:cs="Arial" w:asciiTheme="minorEastAsia" w:hAnsiTheme="minorEastAsia" w:eastAsiaTheme="minorEastAsia"/>
                <w:color w:val="000000" w:themeColor="text1"/>
                <w:szCs w:val="21"/>
                <w:lang w:val="zh-CN"/>
                <w14:textFill>
                  <w14:solidFill>
                    <w14:schemeClr w14:val="tx1"/>
                  </w14:solidFill>
                </w14:textFill>
              </w:rPr>
              <w:t>备注：</w:t>
            </w:r>
            <w:r>
              <w:rPr>
                <w:rFonts w:hint="eastAsia" w:ascii="宋体" w:hAnsi="宋体" w:cs="Tahoma"/>
                <w:color w:val="000000" w:themeColor="text1"/>
                <w:szCs w:val="21"/>
                <w14:textFill>
                  <w14:solidFill>
                    <w14:schemeClr w14:val="tx1"/>
                  </w14:solidFill>
                </w14:textFill>
              </w:rPr>
              <w:t>最高得</w:t>
            </w: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r>
              <w:rPr>
                <w:rFonts w:hint="eastAsia" w:cs="Arial" w:asciiTheme="minorEastAsia" w:hAnsiTheme="minorEastAsia" w:eastAsiaTheme="minorEastAsia"/>
                <w:color w:val="000000" w:themeColor="text1"/>
                <w:szCs w:val="21"/>
                <w:lang w:val="zh-CN"/>
                <w14:textFill>
                  <w14:solidFill>
                    <w14:schemeClr w14:val="tx1"/>
                  </w14:solidFill>
                </w14:textFill>
              </w:rPr>
              <w:t>竞选人提供售后服务响应承诺书，格式自拟，不提供不得分。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2201" w:type="dxa"/>
            <w:vAlign w:val="center"/>
          </w:tcPr>
          <w:p>
            <w:pPr>
              <w:snapToGrid w:val="0"/>
              <w:spacing w:line="360" w:lineRule="auto"/>
              <w:jc w:val="center"/>
              <w:rPr>
                <w:rFonts w:hint="eastAsia" w:ascii="宋体" w:hAnsi="宋体" w:cs="Arial"/>
                <w:szCs w:val="21"/>
              </w:rPr>
            </w:pPr>
            <w:r>
              <w:rPr>
                <w:rFonts w:hint="eastAsia" w:ascii="宋体" w:hAnsi="宋体" w:cs="Arial"/>
                <w:szCs w:val="21"/>
                <w:lang w:val="en-US" w:eastAsia="zh-CN"/>
              </w:rPr>
              <w:t>竞选人</w:t>
            </w:r>
            <w:r>
              <w:rPr>
                <w:rFonts w:hint="eastAsia" w:ascii="宋体" w:hAnsi="宋体" w:cs="Arial"/>
                <w:szCs w:val="21"/>
              </w:rPr>
              <w:t>取得授权情况</w:t>
            </w:r>
          </w:p>
          <w:p>
            <w:pPr>
              <w:snapToGrid w:val="0"/>
              <w:spacing w:line="360" w:lineRule="auto"/>
              <w:jc w:val="center"/>
              <w:rPr>
                <w:rFonts w:hint="default" w:ascii="宋体" w:hAnsi="宋体" w:cs="Arial"/>
                <w:szCs w:val="21"/>
                <w:lang w:val="en-US" w:eastAsia="zh-CN"/>
              </w:rPr>
            </w:pPr>
            <w:r>
              <w:rPr>
                <w:rFonts w:hint="eastAsia" w:ascii="宋体" w:hAnsi="宋体" w:cs="Arial"/>
                <w:sz w:val="21"/>
                <w:szCs w:val="21"/>
              </w:rPr>
              <w:t>&lt;</w:t>
            </w:r>
            <w:r>
              <w:rPr>
                <w:rFonts w:hint="eastAsia" w:ascii="宋体" w:hAnsi="宋体" w:cs="Arial"/>
                <w:sz w:val="21"/>
                <w:szCs w:val="21"/>
                <w:lang w:val="en-US" w:eastAsia="zh-CN"/>
              </w:rPr>
              <w:t>2</w:t>
            </w:r>
            <w:r>
              <w:rPr>
                <w:rFonts w:hint="eastAsia" w:ascii="宋体" w:hAnsi="宋体"/>
                <w:sz w:val="21"/>
                <w:szCs w:val="21"/>
              </w:rPr>
              <w:t>分</w:t>
            </w:r>
            <w:r>
              <w:rPr>
                <w:rFonts w:hint="eastAsia" w:ascii="宋体" w:hAnsi="宋体" w:cs="Arial"/>
                <w:sz w:val="21"/>
                <w:szCs w:val="21"/>
              </w:rPr>
              <w:t>&gt;</w:t>
            </w:r>
          </w:p>
        </w:tc>
        <w:tc>
          <w:tcPr>
            <w:tcW w:w="6668" w:type="dxa"/>
            <w:vAlign w:val="center"/>
          </w:tcPr>
          <w:p>
            <w:pPr>
              <w:spacing w:line="360" w:lineRule="auto"/>
              <w:rPr>
                <w:rFonts w:hint="eastAsia" w:ascii="宋体" w:hAnsi="宋体"/>
              </w:rPr>
            </w:pPr>
            <w:r>
              <w:rPr>
                <w:rFonts w:hint="eastAsia" w:ascii="宋体" w:hAnsi="宋体" w:cs="Arial"/>
                <w:szCs w:val="21"/>
                <w:lang w:val="en-US" w:eastAsia="zh-CN"/>
              </w:rPr>
              <w:t>竞选人</w:t>
            </w:r>
            <w:r>
              <w:rPr>
                <w:rFonts w:hint="eastAsia" w:ascii="宋体" w:hAnsi="宋体" w:cs="Arial"/>
                <w:szCs w:val="21"/>
              </w:rPr>
              <w:t>为制造商或取得全部产品</w:t>
            </w:r>
            <w:r>
              <w:rPr>
                <w:rFonts w:hint="eastAsia" w:ascii="宋体" w:hAnsi="宋体"/>
              </w:rPr>
              <w:t>制造商（总代理商）授权委托书，得2分；</w:t>
            </w:r>
          </w:p>
          <w:p>
            <w:pPr>
              <w:spacing w:line="360" w:lineRule="auto"/>
              <w:rPr>
                <w:rFonts w:hint="eastAsia" w:ascii="宋体" w:hAnsi="宋体"/>
              </w:rPr>
            </w:pPr>
            <w:r>
              <w:rPr>
                <w:rFonts w:hint="eastAsia" w:ascii="宋体" w:hAnsi="宋体" w:cs="Arial"/>
                <w:szCs w:val="21"/>
                <w:lang w:val="en-US" w:eastAsia="zh-CN"/>
              </w:rPr>
              <w:t>竞选人</w:t>
            </w:r>
            <w:r>
              <w:rPr>
                <w:rFonts w:hint="eastAsia" w:ascii="宋体" w:hAnsi="宋体"/>
              </w:rPr>
              <w:t>没有取得</w:t>
            </w:r>
            <w:r>
              <w:rPr>
                <w:rFonts w:hint="eastAsia" w:ascii="宋体" w:hAnsi="宋体" w:cs="Arial"/>
                <w:szCs w:val="21"/>
              </w:rPr>
              <w:t>全部产品</w:t>
            </w:r>
            <w:r>
              <w:rPr>
                <w:rFonts w:hint="eastAsia" w:ascii="宋体" w:hAnsi="宋体"/>
              </w:rPr>
              <w:t>制造商（总代理商）授权委托书，得0分。</w:t>
            </w:r>
          </w:p>
          <w:p>
            <w:pPr>
              <w:spacing w:line="360" w:lineRule="auto"/>
              <w:rPr>
                <w:rFonts w:hint="default" w:ascii="宋体" w:hAnsi="宋体"/>
                <w:lang w:val="en-US" w:eastAsia="zh-CN"/>
              </w:rPr>
            </w:pPr>
            <w:r>
              <w:rPr>
                <w:rFonts w:hint="eastAsia" w:ascii="宋体" w:hAnsi="宋体" w:cs="宋体"/>
                <w:b/>
                <w:szCs w:val="21"/>
              </w:rPr>
              <w:t>注：</w:t>
            </w:r>
            <w:r>
              <w:rPr>
                <w:rFonts w:hint="eastAsia" w:ascii="宋体" w:hAnsi="宋体" w:cs="宋体"/>
                <w:b/>
                <w:szCs w:val="21"/>
                <w:lang w:val="en-US" w:eastAsia="zh-CN"/>
              </w:rPr>
              <w:t>竞选人不是制造商的</w:t>
            </w:r>
            <w:r>
              <w:rPr>
                <w:rFonts w:hint="eastAsia" w:ascii="宋体" w:hAnsi="宋体" w:cs="宋体"/>
                <w:b/>
                <w:szCs w:val="21"/>
              </w:rPr>
              <w:t>须附上相关证明文件复印件，不提供不得分。</w:t>
            </w:r>
          </w:p>
        </w:tc>
      </w:tr>
    </w:tbl>
    <w:p>
      <w:pPr>
        <w:snapToGrid w:val="0"/>
        <w:spacing w:line="360" w:lineRule="auto"/>
        <w:ind w:firstLine="105" w:firstLineChars="50"/>
        <w:rPr>
          <w:rFonts w:asciiTheme="minorEastAsia" w:hAnsiTheme="minorEastAsia" w:eastAsiaTheme="minorEastAsia" w:cstheme="minorEastAsia"/>
          <w:b/>
        </w:rPr>
      </w:pPr>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bookmarkStart w:id="16" w:name="_GoBack"/>
      <w:bookmarkEnd w:id="16"/>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1" w:name="_Toc438222738"/>
      <w:bookmarkStart w:id="12" w:name="_Toc6026_WPSOffice_Level1"/>
      <w:bookmarkStart w:id="13" w:name="_Toc435115055"/>
      <w:bookmarkStart w:id="14" w:name="_Toc435109307"/>
      <w:bookmarkStart w:id="15" w:name="_Toc435514850"/>
      <w:r>
        <w:rPr>
          <w:rFonts w:hint="eastAsia" w:asciiTheme="minorEastAsia" w:hAnsiTheme="minorEastAsia" w:eastAsiaTheme="minorEastAsia" w:cstheme="minorEastAsia"/>
          <w:b/>
          <w:bCs/>
          <w:sz w:val="28"/>
          <w:szCs w:val="28"/>
        </w:rPr>
        <w:t>合同通用条款</w:t>
      </w:r>
      <w:bookmarkEnd w:id="11"/>
      <w:bookmarkEnd w:id="12"/>
      <w:bookmarkEnd w:id="13"/>
      <w:bookmarkEnd w:id="14"/>
      <w:bookmarkEnd w:id="15"/>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3"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3"/>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3"/>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18"/>
        <w:tblW w:w="9319" w:type="dxa"/>
        <w:jc w:val="center"/>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7"/>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3"/>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3"/>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1"/>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lang w:eastAsia="zh-CN"/>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2" w:firstLineChars="200"/>
        <w:rPr>
          <w:rFonts w:hint="eastAsia" w:ascii="宋体" w:hAnsi="宋体"/>
          <w:b/>
          <w:szCs w:val="21"/>
          <w:lang w:eastAsia="zh-CN"/>
        </w:rPr>
      </w:pPr>
      <w:r>
        <w:rPr>
          <w:rFonts w:hint="eastAsia" w:ascii="宋体" w:hAnsi="宋体"/>
          <w:b/>
          <w:szCs w:val="21"/>
        </w:rPr>
        <w:t>本合同不含税金额为固定不变价，如遇税收政策变动，税率按一般纳税人最新的增值税税率执行，重新计算本合同含税总价。</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1"/>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1"/>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1"/>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3"/>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3"/>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3"/>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4"/>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4"/>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5"/>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5"/>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5"/>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7"/>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7"/>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7"/>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7"/>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7"/>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20"/>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20"/>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6"/>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8"/>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8"/>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8"/>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8"/>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8"/>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8"/>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29"/>
        </w:numPr>
        <w:spacing w:line="360" w:lineRule="auto"/>
        <w:rPr>
          <w:rFonts w:ascii="宋体" w:hAnsi="宋体"/>
          <w:b/>
          <w:szCs w:val="21"/>
        </w:rPr>
      </w:pPr>
      <w:r>
        <w:rPr>
          <w:rFonts w:hint="eastAsia" w:ascii="宋体" w:hAnsi="宋体"/>
          <w:b/>
          <w:szCs w:val="21"/>
        </w:rPr>
        <w:t>安装、调试与试运行</w:t>
      </w:r>
    </w:p>
    <w:p>
      <w:pPr>
        <w:numPr>
          <w:ilvl w:val="0"/>
          <w:numId w:val="15"/>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5"/>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5"/>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5"/>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5"/>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5"/>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29"/>
        </w:numPr>
        <w:spacing w:line="360" w:lineRule="auto"/>
        <w:rPr>
          <w:rFonts w:ascii="宋体" w:hAnsi="宋体"/>
          <w:b/>
          <w:szCs w:val="21"/>
        </w:rPr>
      </w:pPr>
      <w:r>
        <w:rPr>
          <w:rFonts w:hint="eastAsia" w:ascii="宋体" w:hAnsi="宋体"/>
          <w:b/>
          <w:szCs w:val="21"/>
        </w:rPr>
        <w:t>测试与验收</w:t>
      </w:r>
    </w:p>
    <w:p>
      <w:pPr>
        <w:numPr>
          <w:ilvl w:val="0"/>
          <w:numId w:val="30"/>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30"/>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3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11"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29"/>
        </w:numPr>
        <w:spacing w:line="360" w:lineRule="auto"/>
        <w:rPr>
          <w:rFonts w:ascii="宋体" w:hAnsi="宋体"/>
          <w:b/>
          <w:szCs w:val="21"/>
        </w:rPr>
      </w:pPr>
      <w:r>
        <w:rPr>
          <w:rFonts w:hint="eastAsia" w:ascii="宋体" w:hAnsi="宋体"/>
          <w:b/>
          <w:szCs w:val="21"/>
        </w:rPr>
        <w:t>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2"/>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2"/>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2"/>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2"/>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3"/>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3"/>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3"/>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3"/>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3"/>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40"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4"/>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5"/>
        <w:numPr>
          <w:ilvl w:val="0"/>
          <w:numId w:val="34"/>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21"/>
          <w:b w:val="0"/>
          <w:color w:val="000000"/>
          <w:sz w:val="21"/>
          <w:szCs w:val="21"/>
        </w:rPr>
        <w:t>恶意</w:t>
      </w:r>
      <w:r>
        <w:rPr>
          <w:rStyle w:val="21"/>
          <w:rFonts w:hint="eastAsia"/>
          <w:b w:val="0"/>
          <w:color w:val="000000"/>
          <w:sz w:val="21"/>
          <w:szCs w:val="21"/>
        </w:rPr>
        <w:t>”</w:t>
      </w:r>
      <w:r>
        <w:rPr>
          <w:rStyle w:val="21"/>
          <w:rFonts w:hint="eastAsia"/>
          <w:b w:val="0"/>
          <w:color w:val="000000"/>
          <w:sz w:val="21"/>
          <w:szCs w:val="21"/>
          <w:lang w:eastAsia="zh-CN"/>
        </w:rPr>
        <w:t>中选</w:t>
      </w:r>
      <w:r>
        <w:rPr>
          <w:rStyle w:val="21"/>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5"/>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5"/>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6"/>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6"/>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6"/>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10"/>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10"/>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10"/>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7"/>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7"/>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39"/>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40"/>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40"/>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1"/>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1"/>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2"/>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2"/>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2"/>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2"/>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2"/>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3"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18"/>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73"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8"/>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3"/>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2"/>
        </w:numPr>
        <w:spacing w:line="360" w:lineRule="auto"/>
        <w:rPr>
          <w:rFonts w:ascii="宋体" w:hAnsi="宋体"/>
          <w:szCs w:val="21"/>
        </w:rPr>
      </w:pPr>
      <w:r>
        <w:rPr>
          <w:rFonts w:hint="eastAsia" w:ascii="宋体" w:hAnsi="宋体"/>
          <w:szCs w:val="21"/>
        </w:rPr>
        <w:t>详细的供货清单一览表；</w:t>
      </w:r>
    </w:p>
    <w:p>
      <w:pPr>
        <w:numPr>
          <w:ilvl w:val="0"/>
          <w:numId w:val="12"/>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2"/>
        </w:numPr>
        <w:spacing w:line="360" w:lineRule="auto"/>
        <w:rPr>
          <w:rFonts w:ascii="宋体" w:hAnsi="宋体"/>
          <w:szCs w:val="21"/>
        </w:rPr>
      </w:pPr>
      <w:r>
        <w:rPr>
          <w:rFonts w:hint="eastAsia" w:ascii="宋体" w:hAnsi="宋体"/>
          <w:szCs w:val="21"/>
        </w:rPr>
        <w:t>采购文件及其澄清、修改及补充文件；</w:t>
      </w:r>
    </w:p>
    <w:p>
      <w:pPr>
        <w:numPr>
          <w:ilvl w:val="0"/>
          <w:numId w:val="12"/>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2"/>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2"/>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w:t>
      </w:r>
      <w:r>
        <w:rPr>
          <w:rFonts w:hint="eastAsia" w:ascii="宋体" w:hAnsi="宋体"/>
          <w:szCs w:val="21"/>
          <w:lang w:eastAsia="zh-CN"/>
        </w:rPr>
        <w:t>竞选</w:t>
      </w:r>
      <w:r>
        <w:rPr>
          <w:rFonts w:hint="eastAsia" w:ascii="宋体" w:hAnsi="宋体"/>
          <w:szCs w:val="21"/>
        </w:rPr>
        <w:t>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jc w:val="center"/>
      <w:rPr>
        <w:rFonts w:hint="eastAsia" w:ascii="微软雅黑" w:hAnsi="微软雅黑" w:eastAsia="微软雅黑"/>
        <w:sz w:val="15"/>
        <w:szCs w:val="15"/>
        <w:lang w:val="en-US" w:eastAsia="zh-CN"/>
      </w:rPr>
    </w:pPr>
  </w:p>
  <w:p>
    <w:pPr>
      <w:pStyle w:val="12"/>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2"/>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2"/>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http://www.chinapsp.cn/                              </w:t>
    </w:r>
    <w:r>
      <w:fldChar w:fldCharType="begin"/>
    </w:r>
    <w:r>
      <w:rPr>
        <w:rStyle w:val="22"/>
      </w:rPr>
      <w:instrText xml:space="preserve"> PAGE </w:instrText>
    </w:r>
    <w:r>
      <w:fldChar w:fldCharType="separate"/>
    </w:r>
    <w:r>
      <w:rPr>
        <w:rStyle w:val="22"/>
      </w:rPr>
      <w:t>2</w:t>
    </w:r>
    <w:r>
      <w:fldChar w:fldCharType="end"/>
    </w:r>
    <w:r>
      <w:rPr>
        <w:rFonts w:hint="eastAsia"/>
      </w:rPr>
      <w:t xml:space="preserve">                       广东采联采购招标有限公司</w: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20</w: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59264;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BB51E28"/>
    <w:multiLevelType w:val="singleLevel"/>
    <w:tmpl w:val="5BB51E28"/>
    <w:lvl w:ilvl="0" w:tentative="0">
      <w:start w:val="1"/>
      <w:numFmt w:val="chineseCounting"/>
      <w:suff w:val="space"/>
      <w:lvlText w:val="第%1章"/>
      <w:lvlJc w:val="left"/>
      <w:rPr>
        <w:rFonts w:hint="eastAsia"/>
      </w:rPr>
    </w:lvl>
  </w:abstractNum>
  <w:abstractNum w:abstractNumId="40">
    <w:nsid w:val="5D008A96"/>
    <w:multiLevelType w:val="singleLevel"/>
    <w:tmpl w:val="5D008A96"/>
    <w:lvl w:ilvl="0" w:tentative="0">
      <w:start w:val="1"/>
      <w:numFmt w:val="decimal"/>
      <w:lvlText w:val="%1."/>
      <w:lvlJc w:val="left"/>
      <w:pPr>
        <w:tabs>
          <w:tab w:val="left" w:pos="312"/>
        </w:tabs>
      </w:pPr>
    </w:lvl>
  </w:abstractNum>
  <w:abstractNum w:abstractNumId="41">
    <w:nsid w:val="5D15C0E8"/>
    <w:multiLevelType w:val="singleLevel"/>
    <w:tmpl w:val="5D15C0E8"/>
    <w:lvl w:ilvl="0" w:tentative="0">
      <w:start w:val="1"/>
      <w:numFmt w:val="chineseCounting"/>
      <w:suff w:val="space"/>
      <w:lvlText w:val="%1、"/>
      <w:lvlJc w:val="left"/>
    </w:lvl>
  </w:abstractNum>
  <w:abstractNum w:abstractNumId="42">
    <w:nsid w:val="5EBA6273"/>
    <w:multiLevelType w:val="singleLevel"/>
    <w:tmpl w:val="5EBA6273"/>
    <w:lvl w:ilvl="0" w:tentative="0">
      <w:start w:val="1"/>
      <w:numFmt w:val="decimal"/>
      <w:lvlText w:val="%1."/>
      <w:lvlJc w:val="left"/>
      <w:pPr>
        <w:ind w:left="425" w:leftChars="0" w:hanging="425" w:firstLineChars="0"/>
      </w:pPr>
      <w:rPr>
        <w:rFonts w:hint="default"/>
      </w:rPr>
    </w:lvl>
  </w:abstractNum>
  <w:num w:numId="1">
    <w:abstractNumId w:val="39"/>
  </w:num>
  <w:num w:numId="2">
    <w:abstractNumId w:val="7"/>
  </w:num>
  <w:num w:numId="3">
    <w:abstractNumId w:val="11"/>
  </w:num>
  <w:num w:numId="4">
    <w:abstractNumId w:val="10"/>
  </w:num>
  <w:num w:numId="5">
    <w:abstractNumId w:val="20"/>
  </w:num>
  <w:num w:numId="6">
    <w:abstractNumId w:val="41"/>
  </w:num>
  <w:num w:numId="7">
    <w:abstractNumId w:val="40"/>
  </w:num>
  <w:num w:numId="8">
    <w:abstractNumId w:val="42"/>
  </w:num>
  <w:num w:numId="9">
    <w:abstractNumId w:val="38"/>
  </w:num>
  <w:num w:numId="10">
    <w:abstractNumId w:val="3"/>
  </w:num>
  <w:num w:numId="11">
    <w:abstractNumId w:val="1"/>
  </w:num>
  <w:num w:numId="12">
    <w:abstractNumId w:val="5"/>
  </w:num>
  <w:num w:numId="13">
    <w:abstractNumId w:val="19"/>
  </w:num>
  <w:num w:numId="14">
    <w:abstractNumId w:val="6"/>
  </w:num>
  <w:num w:numId="15">
    <w:abstractNumId w:val="8"/>
  </w:num>
  <w:num w:numId="16">
    <w:abstractNumId w:val="4"/>
  </w:num>
  <w:num w:numId="17">
    <w:abstractNumId w:val="13"/>
  </w:num>
  <w:num w:numId="18">
    <w:abstractNumId w:val="0"/>
  </w:num>
  <w:num w:numId="19">
    <w:abstractNumId w:val="2"/>
  </w:num>
  <w:num w:numId="20">
    <w:abstractNumId w:val="22"/>
  </w:num>
  <w:num w:numId="21">
    <w:abstractNumId w:val="25"/>
  </w:num>
  <w:num w:numId="22">
    <w:abstractNumId w:val="18"/>
  </w:num>
  <w:num w:numId="23">
    <w:abstractNumId w:val="26"/>
  </w:num>
  <w:num w:numId="24">
    <w:abstractNumId w:val="24"/>
  </w:num>
  <w:num w:numId="25">
    <w:abstractNumId w:val="14"/>
  </w:num>
  <w:num w:numId="26">
    <w:abstractNumId w:val="34"/>
  </w:num>
  <w:num w:numId="27">
    <w:abstractNumId w:val="15"/>
  </w:num>
  <w:num w:numId="28">
    <w:abstractNumId w:val="37"/>
  </w:num>
  <w:num w:numId="29">
    <w:abstractNumId w:val="9"/>
  </w:num>
  <w:num w:numId="30">
    <w:abstractNumId w:val="27"/>
  </w:num>
  <w:num w:numId="31">
    <w:abstractNumId w:val="29"/>
  </w:num>
  <w:num w:numId="32">
    <w:abstractNumId w:val="12"/>
  </w:num>
  <w:num w:numId="33">
    <w:abstractNumId w:val="30"/>
  </w:num>
  <w:num w:numId="34">
    <w:abstractNumId w:val="36"/>
  </w:num>
  <w:num w:numId="35">
    <w:abstractNumId w:val="32"/>
  </w:num>
  <w:num w:numId="36">
    <w:abstractNumId w:val="16"/>
  </w:num>
  <w:num w:numId="37">
    <w:abstractNumId w:val="28"/>
  </w:num>
  <w:num w:numId="38">
    <w:abstractNumId w:val="33"/>
  </w:num>
  <w:num w:numId="39">
    <w:abstractNumId w:val="17"/>
  </w:num>
  <w:num w:numId="40">
    <w:abstractNumId w:val="31"/>
  </w:num>
  <w:num w:numId="41">
    <w:abstractNumId w:val="35"/>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544"/>
    <w:rsid w:val="00FA392C"/>
    <w:rsid w:val="00FB4B8F"/>
    <w:rsid w:val="00FB542D"/>
    <w:rsid w:val="00FB6619"/>
    <w:rsid w:val="00FC4E7F"/>
    <w:rsid w:val="00FD5FB4"/>
    <w:rsid w:val="00FE0DEC"/>
    <w:rsid w:val="00FE2F96"/>
    <w:rsid w:val="00FE57C5"/>
    <w:rsid w:val="015714B0"/>
    <w:rsid w:val="01A319FB"/>
    <w:rsid w:val="01E92B1B"/>
    <w:rsid w:val="02021D56"/>
    <w:rsid w:val="021A6A34"/>
    <w:rsid w:val="028B4239"/>
    <w:rsid w:val="029017AD"/>
    <w:rsid w:val="02DD6241"/>
    <w:rsid w:val="03713232"/>
    <w:rsid w:val="03970EF3"/>
    <w:rsid w:val="03986975"/>
    <w:rsid w:val="03990B73"/>
    <w:rsid w:val="03EC58B2"/>
    <w:rsid w:val="04517F48"/>
    <w:rsid w:val="045A285A"/>
    <w:rsid w:val="05053F16"/>
    <w:rsid w:val="05711A7E"/>
    <w:rsid w:val="0574578F"/>
    <w:rsid w:val="05770104"/>
    <w:rsid w:val="05952F37"/>
    <w:rsid w:val="059E564D"/>
    <w:rsid w:val="06615B03"/>
    <w:rsid w:val="067F6C4A"/>
    <w:rsid w:val="0696055B"/>
    <w:rsid w:val="06C76500"/>
    <w:rsid w:val="071E1739"/>
    <w:rsid w:val="072338C0"/>
    <w:rsid w:val="076324CD"/>
    <w:rsid w:val="07E87F08"/>
    <w:rsid w:val="081226C9"/>
    <w:rsid w:val="092C60C3"/>
    <w:rsid w:val="093C4FF3"/>
    <w:rsid w:val="09DE4B40"/>
    <w:rsid w:val="0A4C18F1"/>
    <w:rsid w:val="0AA66B07"/>
    <w:rsid w:val="0BC45C5A"/>
    <w:rsid w:val="0C633EC7"/>
    <w:rsid w:val="0C791E4B"/>
    <w:rsid w:val="0C7D7CE1"/>
    <w:rsid w:val="0CFF62E4"/>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ECC4FE8"/>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130CCC"/>
    <w:rsid w:val="262F2E96"/>
    <w:rsid w:val="26B11406"/>
    <w:rsid w:val="26D870C8"/>
    <w:rsid w:val="271B3E34"/>
    <w:rsid w:val="277F2AAD"/>
    <w:rsid w:val="278B323E"/>
    <w:rsid w:val="27ED6457"/>
    <w:rsid w:val="29323A24"/>
    <w:rsid w:val="293D5638"/>
    <w:rsid w:val="29661591"/>
    <w:rsid w:val="29672BF9"/>
    <w:rsid w:val="29BF72FB"/>
    <w:rsid w:val="2A994270"/>
    <w:rsid w:val="2AC718BC"/>
    <w:rsid w:val="2B1C4849"/>
    <w:rsid w:val="2B441DDF"/>
    <w:rsid w:val="2B567EA6"/>
    <w:rsid w:val="2BA22524"/>
    <w:rsid w:val="2BB611C4"/>
    <w:rsid w:val="2C475230"/>
    <w:rsid w:val="2C92637B"/>
    <w:rsid w:val="2CD30697"/>
    <w:rsid w:val="2CD51E9B"/>
    <w:rsid w:val="2D7C5001"/>
    <w:rsid w:val="2DDD43CD"/>
    <w:rsid w:val="2E5C463C"/>
    <w:rsid w:val="2E755845"/>
    <w:rsid w:val="2EC25944"/>
    <w:rsid w:val="2EE21029"/>
    <w:rsid w:val="2EEF2F90"/>
    <w:rsid w:val="2F0241AF"/>
    <w:rsid w:val="2F0D6CBD"/>
    <w:rsid w:val="2F2D4FF3"/>
    <w:rsid w:val="2FD11929"/>
    <w:rsid w:val="2FDF47EB"/>
    <w:rsid w:val="3075293B"/>
    <w:rsid w:val="309B783E"/>
    <w:rsid w:val="30A748D4"/>
    <w:rsid w:val="31175E18"/>
    <w:rsid w:val="31A12DB7"/>
    <w:rsid w:val="31B12793"/>
    <w:rsid w:val="31BB6926"/>
    <w:rsid w:val="31C82800"/>
    <w:rsid w:val="31FE2893"/>
    <w:rsid w:val="320F2B2D"/>
    <w:rsid w:val="327E4466"/>
    <w:rsid w:val="33263659"/>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264CCE"/>
    <w:rsid w:val="4C45010B"/>
    <w:rsid w:val="4C667522"/>
    <w:rsid w:val="4CF47301"/>
    <w:rsid w:val="4D0933F1"/>
    <w:rsid w:val="4D2775C0"/>
    <w:rsid w:val="4E462DF8"/>
    <w:rsid w:val="4E7074C0"/>
    <w:rsid w:val="4E803ED7"/>
    <w:rsid w:val="4EC018B2"/>
    <w:rsid w:val="4F1C53DA"/>
    <w:rsid w:val="4F30407B"/>
    <w:rsid w:val="4F355131"/>
    <w:rsid w:val="4FB43AC4"/>
    <w:rsid w:val="4FDF3DA1"/>
    <w:rsid w:val="50193FF8"/>
    <w:rsid w:val="50350334"/>
    <w:rsid w:val="503A65BF"/>
    <w:rsid w:val="508201A4"/>
    <w:rsid w:val="5217603C"/>
    <w:rsid w:val="52300442"/>
    <w:rsid w:val="529E44B1"/>
    <w:rsid w:val="53971887"/>
    <w:rsid w:val="53BD783F"/>
    <w:rsid w:val="53DA11A0"/>
    <w:rsid w:val="53DD545F"/>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BF44C98"/>
    <w:rsid w:val="5C14521D"/>
    <w:rsid w:val="5C3370FB"/>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661197"/>
    <w:rsid w:val="61836C08"/>
    <w:rsid w:val="62502AD9"/>
    <w:rsid w:val="629043ED"/>
    <w:rsid w:val="62D1572D"/>
    <w:rsid w:val="6314609A"/>
    <w:rsid w:val="637034E2"/>
    <w:rsid w:val="63C86E42"/>
    <w:rsid w:val="63E63B96"/>
    <w:rsid w:val="64274C5E"/>
    <w:rsid w:val="642B3664"/>
    <w:rsid w:val="6468766D"/>
    <w:rsid w:val="652A5785"/>
    <w:rsid w:val="655B17D7"/>
    <w:rsid w:val="666D3E89"/>
    <w:rsid w:val="67A11020"/>
    <w:rsid w:val="67AF530C"/>
    <w:rsid w:val="684A2561"/>
    <w:rsid w:val="69187F79"/>
    <w:rsid w:val="6954235C"/>
    <w:rsid w:val="69616CE0"/>
    <w:rsid w:val="69CF4224"/>
    <w:rsid w:val="69F72ED8"/>
    <w:rsid w:val="6A254C33"/>
    <w:rsid w:val="6A533E0C"/>
    <w:rsid w:val="6A780B8E"/>
    <w:rsid w:val="6A953FED"/>
    <w:rsid w:val="6ACD42EC"/>
    <w:rsid w:val="6AFB3992"/>
    <w:rsid w:val="6BF9048F"/>
    <w:rsid w:val="6C256ACE"/>
    <w:rsid w:val="6C3C6AF6"/>
    <w:rsid w:val="6C5C3338"/>
    <w:rsid w:val="6CC94E87"/>
    <w:rsid w:val="6D1E19ED"/>
    <w:rsid w:val="6DC063DD"/>
    <w:rsid w:val="6E1A1331"/>
    <w:rsid w:val="6E3956DA"/>
    <w:rsid w:val="6EF7617B"/>
    <w:rsid w:val="6F0E50C1"/>
    <w:rsid w:val="6F973D20"/>
    <w:rsid w:val="6FA31AFB"/>
    <w:rsid w:val="6FAB07C2"/>
    <w:rsid w:val="6FE05419"/>
    <w:rsid w:val="706E0D29"/>
    <w:rsid w:val="70AE12EA"/>
    <w:rsid w:val="70B858ED"/>
    <w:rsid w:val="70EA3CAB"/>
    <w:rsid w:val="70F12332"/>
    <w:rsid w:val="71997FEE"/>
    <w:rsid w:val="722F6476"/>
    <w:rsid w:val="728631CB"/>
    <w:rsid w:val="72FE0BBA"/>
    <w:rsid w:val="73181C41"/>
    <w:rsid w:val="73476C05"/>
    <w:rsid w:val="73783A8B"/>
    <w:rsid w:val="73AB1B34"/>
    <w:rsid w:val="73DA5E2C"/>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BF7A25"/>
    <w:rsid w:val="79276150"/>
    <w:rsid w:val="797F7E64"/>
    <w:rsid w:val="79C86338"/>
    <w:rsid w:val="79EA434E"/>
    <w:rsid w:val="79F42021"/>
    <w:rsid w:val="79FA77AD"/>
    <w:rsid w:val="7A40469E"/>
    <w:rsid w:val="7A4665A8"/>
    <w:rsid w:val="7A5D4615"/>
    <w:rsid w:val="7A6B2F64"/>
    <w:rsid w:val="7A6F6BC9"/>
    <w:rsid w:val="7B4E6DDA"/>
    <w:rsid w:val="7BFC765F"/>
    <w:rsid w:val="7C2560A4"/>
    <w:rsid w:val="7C4A7F77"/>
    <w:rsid w:val="7C902C69"/>
    <w:rsid w:val="7CB41BA4"/>
    <w:rsid w:val="7CCA21DF"/>
    <w:rsid w:val="7CCF3A53"/>
    <w:rsid w:val="7D2474AD"/>
    <w:rsid w:val="7D9D7924"/>
    <w:rsid w:val="7D9E53A5"/>
    <w:rsid w:val="7DA02F5F"/>
    <w:rsid w:val="7DA54C8A"/>
    <w:rsid w:val="7E1A239D"/>
    <w:rsid w:val="7E6A37F4"/>
    <w:rsid w:val="7EAF57F9"/>
    <w:rsid w:val="7EC606C1"/>
    <w:rsid w:val="7F567F7A"/>
    <w:rsid w:val="7FD7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Cs w:val="20"/>
    </w:rPr>
  </w:style>
  <w:style w:type="paragraph" w:styleId="6">
    <w:name w:val="annotation text"/>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w:basedOn w:val="1"/>
    <w:qFormat/>
    <w:uiPriority w:val="0"/>
  </w:style>
  <w:style w:type="paragraph" w:styleId="8">
    <w:name w:val="Body Text Indent"/>
    <w:basedOn w:val="1"/>
    <w:link w:val="94"/>
    <w:unhideWhenUsed/>
    <w:qFormat/>
    <w:uiPriority w:val="99"/>
    <w:pPr>
      <w:ind w:firstLine="480" w:firstLineChars="200"/>
    </w:pPr>
    <w:rPr>
      <w:rFonts w:ascii="宋体" w:hAnsi="宋体"/>
      <w:sz w:val="24"/>
      <w:szCs w:val="20"/>
    </w:rPr>
  </w:style>
  <w:style w:type="paragraph" w:styleId="9">
    <w:name w:val="Plain Text"/>
    <w:basedOn w:val="1"/>
    <w:qFormat/>
    <w:uiPriority w:val="0"/>
    <w:rPr>
      <w:rFonts w:ascii="宋体" w:hAnsi="Courier New"/>
      <w:szCs w:val="20"/>
    </w:rPr>
  </w:style>
  <w:style w:type="paragraph" w:styleId="10">
    <w:name w:val="Date"/>
    <w:basedOn w:val="1"/>
    <w:next w:val="1"/>
    <w:link w:val="93"/>
    <w:qFormat/>
    <w:uiPriority w:val="0"/>
    <w:pPr>
      <w:ind w:left="100" w:leftChars="2500"/>
    </w:pPr>
  </w:style>
  <w:style w:type="paragraph" w:styleId="11">
    <w:name w:val="Balloon Text"/>
    <w:basedOn w:val="1"/>
    <w:link w:val="8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Title"/>
    <w:basedOn w:val="1"/>
    <w:next w:val="1"/>
    <w:link w:val="90"/>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0"/>
    <w:pPr>
      <w:ind w:firstLine="420"/>
    </w:pPr>
  </w:style>
  <w:style w:type="table" w:styleId="19">
    <w:name w:val="Table Grid"/>
    <w:basedOn w:val="1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FollowedHyperlink"/>
    <w:unhideWhenUsed/>
    <w:qFormat/>
    <w:uiPriority w:val="99"/>
    <w:rPr>
      <w:color w:val="800080"/>
      <w:u w:val="single"/>
    </w:rPr>
  </w:style>
  <w:style w:type="character" w:styleId="24">
    <w:name w:val="Hyperlink"/>
    <w:basedOn w:val="20"/>
    <w:qFormat/>
    <w:uiPriority w:val="99"/>
    <w:rPr>
      <w:color w:val="0000FF"/>
      <w:u w:val="single"/>
    </w:rPr>
  </w:style>
  <w:style w:type="paragraph" w:customStyle="1" w:styleId="25">
    <w:name w:val="Char"/>
    <w:basedOn w:val="1"/>
    <w:qFormat/>
    <w:uiPriority w:val="0"/>
    <w:rPr>
      <w:rFonts w:ascii="Tahoma" w:hAnsi="Tahoma"/>
      <w:sz w:val="24"/>
      <w:szCs w:val="20"/>
    </w:rPr>
  </w:style>
  <w:style w:type="paragraph" w:customStyle="1" w:styleId="26">
    <w:name w:val="Char1"/>
    <w:basedOn w:val="1"/>
    <w:qFormat/>
    <w:uiPriority w:val="0"/>
    <w:rPr>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0">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0">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1">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4">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7">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6">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8">
    <w:name w:val="页眉 Char"/>
    <w:link w:val="13"/>
    <w:qFormat/>
    <w:uiPriority w:val="0"/>
    <w:rPr>
      <w:kern w:val="2"/>
      <w:sz w:val="18"/>
      <w:szCs w:val="18"/>
    </w:rPr>
  </w:style>
  <w:style w:type="character" w:customStyle="1" w:styleId="89">
    <w:name w:val="批注框文本 Char"/>
    <w:link w:val="11"/>
    <w:qFormat/>
    <w:uiPriority w:val="0"/>
    <w:rPr>
      <w:kern w:val="2"/>
      <w:sz w:val="18"/>
      <w:szCs w:val="18"/>
    </w:rPr>
  </w:style>
  <w:style w:type="character" w:customStyle="1" w:styleId="90">
    <w:name w:val="标题 Char"/>
    <w:link w:val="16"/>
    <w:qFormat/>
    <w:uiPriority w:val="0"/>
    <w:rPr>
      <w:rFonts w:ascii="Cambria" w:hAnsi="Cambria" w:cs="Times New Roman"/>
      <w:b/>
      <w:bCs/>
      <w:kern w:val="2"/>
      <w:sz w:val="32"/>
      <w:szCs w:val="32"/>
    </w:rPr>
  </w:style>
  <w:style w:type="character" w:customStyle="1" w:styleId="91">
    <w:name w:val="副标题 Char"/>
    <w:link w:val="14"/>
    <w:qFormat/>
    <w:uiPriority w:val="0"/>
    <w:rPr>
      <w:rFonts w:ascii="Cambria" w:hAnsi="Cambria" w:cs="Times New Roman"/>
      <w:b/>
      <w:bCs/>
      <w:kern w:val="28"/>
      <w:sz w:val="32"/>
      <w:szCs w:val="32"/>
    </w:rPr>
  </w:style>
  <w:style w:type="character" w:customStyle="1" w:styleId="92">
    <w:name w:val="p141"/>
    <w:qFormat/>
    <w:uiPriority w:val="0"/>
    <w:rPr>
      <w:sz w:val="21"/>
      <w:szCs w:val="21"/>
    </w:rPr>
  </w:style>
  <w:style w:type="character" w:customStyle="1" w:styleId="93">
    <w:name w:val="日期 Char"/>
    <w:link w:val="10"/>
    <w:qFormat/>
    <w:uiPriority w:val="0"/>
    <w:rPr>
      <w:kern w:val="2"/>
      <w:sz w:val="21"/>
      <w:szCs w:val="24"/>
    </w:rPr>
  </w:style>
  <w:style w:type="character" w:customStyle="1" w:styleId="94">
    <w:name w:val="正文文本缩进 Char"/>
    <w:link w:val="8"/>
    <w:qFormat/>
    <w:uiPriority w:val="99"/>
    <w:rPr>
      <w:rFonts w:ascii="宋体" w:hAnsi="宋体"/>
      <w:kern w:val="2"/>
      <w:sz w:val="24"/>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6">
    <w:name w:val="标题 1 Char"/>
    <w:basedOn w:val="20"/>
    <w:link w:val="2"/>
    <w:qFormat/>
    <w:uiPriority w:val="0"/>
    <w:rPr>
      <w:b/>
      <w:kern w:val="44"/>
      <w:sz w:val="44"/>
    </w:rPr>
  </w:style>
  <w:style w:type="paragraph" w:customStyle="1" w:styleId="97">
    <w:name w:val="Body Text Indent 2"/>
    <w:basedOn w:val="1"/>
    <w:qFormat/>
    <w:uiPriority w:val="0"/>
    <w:pPr>
      <w:spacing w:line="540" w:lineRule="exact"/>
      <w:ind w:left="462" w:leftChars="220"/>
    </w:pPr>
    <w:rPr>
      <w:kern w:val="0"/>
      <w:sz w:val="24"/>
    </w:rPr>
  </w:style>
  <w:style w:type="paragraph" w:customStyle="1" w:styleId="98">
    <w:name w:val="Plain Text"/>
    <w:basedOn w:val="1"/>
    <w:qFormat/>
    <w:uiPriority w:val="0"/>
    <w:rPr>
      <w:rFonts w:ascii="宋体" w:hAnsi="Courier New"/>
      <w:kern w:val="0"/>
      <w:sz w:val="20"/>
      <w:szCs w:val="21"/>
    </w:rPr>
  </w:style>
  <w:style w:type="paragraph" w:customStyle="1" w:styleId="99">
    <w:name w:val="列出段落"/>
    <w:basedOn w:val="1"/>
    <w:qFormat/>
    <w:uiPriority w:val="0"/>
    <w:pPr>
      <w:ind w:firstLine="420" w:firstLineChars="200"/>
    </w:pPr>
    <w:rPr>
      <w:rFonts w:ascii="Calibri" w:hAnsi="Calibri"/>
      <w:szCs w:val="22"/>
    </w:rPr>
  </w:style>
  <w:style w:type="paragraph" w:customStyle="1" w:styleId="100">
    <w:name w:val="_Style 3"/>
    <w:basedOn w:val="1"/>
    <w:qFormat/>
    <w:uiPriority w:val="0"/>
    <w:pPr>
      <w:ind w:firstLine="420" w:firstLineChars="200"/>
    </w:pPr>
    <w:rPr>
      <w:rFonts w:ascii="Calibri" w:hAnsi="Calibri"/>
      <w:szCs w:val="22"/>
    </w:rPr>
  </w:style>
  <w:style w:type="paragraph" w:customStyle="1" w:styleId="101">
    <w:name w:val="List Paragraph"/>
    <w:basedOn w:val="1"/>
    <w:qFormat/>
    <w:uiPriority w:val="0"/>
    <w:pPr>
      <w:ind w:firstLine="420" w:firstLineChars="200"/>
    </w:pPr>
    <w:rPr>
      <w:rFonts w:ascii="Calibri" w:hAnsi="Calibri"/>
      <w:szCs w:val="22"/>
    </w:rPr>
  </w:style>
  <w:style w:type="paragraph" w:customStyle="1" w:styleId="10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TotalTime>2</TotalTime>
  <ScaleCrop>false</ScaleCrop>
  <LinksUpToDate>false</LinksUpToDate>
  <CharactersWithSpaces>8978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BGS</cp:lastModifiedBy>
  <cp:lastPrinted>2020-11-30T05:44:52Z</cp:lastPrinted>
  <dcterms:modified xsi:type="dcterms:W3CDTF">2020-11-30T05:44:55Z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