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72"/>
          <w:szCs w:val="72"/>
        </w:rPr>
      </w:pPr>
    </w:p>
    <w:p>
      <w:pPr>
        <w:jc w:val="center"/>
        <w:rPr>
          <w:rFonts w:ascii="黑体" w:hAnsi="黑体" w:eastAsia="黑体" w:cs="黑体"/>
          <w:b/>
          <w:bCs/>
          <w:sz w:val="72"/>
          <w:szCs w:val="72"/>
        </w:rPr>
      </w:pPr>
    </w:p>
    <w:p>
      <w:pPr>
        <w:jc w:val="center"/>
        <w:rPr>
          <w:rFonts w:ascii="黑体" w:hAnsi="黑体" w:eastAsia="黑体" w:cs="黑体"/>
          <w:b/>
          <w:bCs/>
          <w:sz w:val="72"/>
          <w:szCs w:val="72"/>
        </w:rPr>
      </w:pPr>
    </w:p>
    <w:p>
      <w:pPr>
        <w:jc w:val="center"/>
        <w:rPr>
          <w:rFonts w:ascii="黑体" w:hAnsi="黑体" w:eastAsia="黑体" w:cs="黑体"/>
          <w:b/>
          <w:bCs/>
          <w:sz w:val="72"/>
          <w:szCs w:val="72"/>
        </w:rPr>
      </w:pPr>
      <w:r>
        <w:rPr>
          <w:rFonts w:hint="eastAsia" w:ascii="黑体" w:hAnsi="黑体" w:eastAsia="黑体" w:cs="黑体"/>
          <w:b/>
          <w:bCs/>
          <w:sz w:val="72"/>
          <w:szCs w:val="72"/>
        </w:rPr>
        <w:t>广检集团</w:t>
      </w:r>
    </w:p>
    <w:p>
      <w:pPr>
        <w:jc w:val="center"/>
        <w:rPr>
          <w:rFonts w:ascii="黑体" w:hAnsi="黑体" w:eastAsia="黑体" w:cs="黑体"/>
          <w:b/>
          <w:bCs/>
          <w:sz w:val="72"/>
          <w:szCs w:val="72"/>
        </w:rPr>
      </w:pPr>
      <w:r>
        <w:rPr>
          <w:rFonts w:hint="eastAsia" w:ascii="黑体" w:hAnsi="黑体" w:eastAsia="黑体" w:cs="黑体"/>
          <w:b/>
          <w:bCs/>
          <w:sz w:val="72"/>
          <w:szCs w:val="72"/>
        </w:rPr>
        <w:t>竞选采购文件</w:t>
      </w:r>
    </w:p>
    <w:p>
      <w:pPr>
        <w:jc w:val="center"/>
        <w:rPr>
          <w:rFonts w:ascii="黑体" w:hAnsi="黑体" w:eastAsia="黑体" w:cs="黑体"/>
          <w:b/>
          <w:bCs/>
          <w:sz w:val="72"/>
          <w:szCs w:val="72"/>
        </w:rPr>
      </w:pPr>
    </w:p>
    <w:p>
      <w:pPr>
        <w:jc w:val="center"/>
        <w:rPr>
          <w:rFonts w:ascii="黑体" w:hAnsi="黑体" w:eastAsia="黑体" w:cs="黑体"/>
          <w:b/>
          <w:bCs/>
          <w:sz w:val="72"/>
          <w:szCs w:val="72"/>
        </w:rPr>
      </w:pPr>
    </w:p>
    <w:p>
      <w:pPr>
        <w:spacing w:line="360" w:lineRule="auto"/>
        <w:rPr>
          <w:rFonts w:ascii="宋体" w:hAnsi="宋体" w:cs="宋体"/>
          <w:b/>
          <w:bCs/>
          <w:sz w:val="32"/>
          <w:szCs w:val="32"/>
        </w:rPr>
      </w:pPr>
      <w:r>
        <w:rPr>
          <w:rFonts w:hint="eastAsia" w:ascii="宋体" w:hAnsi="宋体" w:cs="宋体"/>
          <w:b/>
          <w:bCs/>
          <w:sz w:val="32"/>
          <w:szCs w:val="32"/>
        </w:rPr>
        <w:t xml:space="preserve">   项目名称：广检集团广科院辐射检测仪器购置项目</w:t>
      </w:r>
    </w:p>
    <w:p>
      <w:pPr>
        <w:spacing w:line="360" w:lineRule="auto"/>
        <w:rPr>
          <w:rFonts w:asciiTheme="minorEastAsia" w:hAnsiTheme="minorEastAsia" w:eastAsiaTheme="minorEastAsia" w:cstheme="minorEastAsia"/>
          <w:b/>
          <w:szCs w:val="21"/>
        </w:rPr>
      </w:pPr>
      <w:r>
        <w:rPr>
          <w:rFonts w:hint="eastAsia" w:ascii="宋体" w:hAnsi="宋体" w:cs="宋体"/>
          <w:b/>
          <w:bCs/>
          <w:sz w:val="32"/>
          <w:szCs w:val="32"/>
        </w:rPr>
        <w:t xml:space="preserve">   项目编号：穗广科竞〔2020〕1号</w:t>
      </w:r>
    </w:p>
    <w:p>
      <w:pPr>
        <w:rPr>
          <w:rFonts w:ascii="宋体" w:hAnsi="宋体" w:cs="宋体"/>
          <w:b/>
          <w:bCs/>
          <w:sz w:val="32"/>
          <w:szCs w:val="32"/>
        </w:rPr>
      </w:pPr>
    </w:p>
    <w:p>
      <w:pPr>
        <w:rPr>
          <w:rFonts w:ascii="宋体" w:hAnsi="宋体" w:cs="宋体"/>
          <w:b/>
          <w:bCs/>
          <w:sz w:val="32"/>
          <w:szCs w:val="32"/>
        </w:rPr>
      </w:pPr>
    </w:p>
    <w:p>
      <w:pPr>
        <w:rPr>
          <w:rFonts w:ascii="宋体" w:hAnsi="宋体" w:cs="宋体"/>
          <w:b/>
          <w:bCs/>
          <w:sz w:val="32"/>
          <w:szCs w:val="32"/>
        </w:rPr>
      </w:pPr>
    </w:p>
    <w:p>
      <w:pPr>
        <w:pStyle w:val="2"/>
      </w:pPr>
    </w:p>
    <w:p>
      <w:pPr>
        <w:rPr>
          <w:rFonts w:ascii="宋体" w:hAnsi="宋体" w:cs="宋体"/>
          <w:b/>
          <w:bCs/>
          <w:sz w:val="32"/>
          <w:szCs w:val="32"/>
        </w:rPr>
      </w:pPr>
    </w:p>
    <w:p>
      <w:pPr>
        <w:jc w:val="center"/>
        <w:rPr>
          <w:rFonts w:ascii="黑体" w:hAnsi="黑体" w:eastAsia="黑体" w:cs="黑体"/>
          <w:sz w:val="30"/>
          <w:szCs w:val="30"/>
        </w:rPr>
      </w:pPr>
      <w:r>
        <w:rPr>
          <w:rFonts w:hint="eastAsia" w:ascii="黑体" w:hAnsi="黑体" w:eastAsia="黑体" w:cs="黑体"/>
          <w:sz w:val="30"/>
          <w:szCs w:val="30"/>
        </w:rPr>
        <w:t>广州检验检测认证集团有限公司</w:t>
      </w:r>
    </w:p>
    <w:p>
      <w:pPr>
        <w:jc w:val="center"/>
        <w:rPr>
          <w:rFonts w:asciiTheme="minorEastAsia" w:hAnsiTheme="minorEastAsia" w:eastAsiaTheme="minorEastAsia" w:cstheme="minorEastAsia"/>
          <w:b/>
          <w:bCs/>
          <w:sz w:val="28"/>
          <w:szCs w:val="28"/>
        </w:rPr>
      </w:pPr>
      <w:r>
        <w:rPr>
          <w:rFonts w:hint="eastAsia" w:ascii="黑体" w:hAnsi="黑体" w:eastAsia="黑体" w:cs="黑体"/>
          <w:sz w:val="30"/>
          <w:szCs w:val="30"/>
        </w:rPr>
        <w:t>2020年1月</w:t>
      </w:r>
      <w:r>
        <w:rPr>
          <w:rFonts w:hint="eastAsia" w:asciiTheme="minorEastAsia" w:hAnsiTheme="minorEastAsia" w:eastAsiaTheme="minorEastAsia" w:cstheme="minorEastAsia"/>
          <w:b/>
          <w:bCs/>
          <w:sz w:val="28"/>
          <w:szCs w:val="28"/>
        </w:rPr>
        <w:br w:type="page"/>
      </w:r>
    </w:p>
    <w:p>
      <w:pPr>
        <w:pStyle w:val="2"/>
        <w:rPr>
          <w:rFonts w:asciiTheme="minorEastAsia" w:hAnsiTheme="minorEastAsia" w:eastAsiaTheme="minorEastAsia" w:cstheme="minorEastAsia"/>
          <w:b/>
          <w:sz w:val="28"/>
          <w:szCs w:val="28"/>
        </w:rPr>
      </w:pPr>
    </w:p>
    <w:p>
      <w:pPr>
        <w:pStyle w:val="15"/>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
          <w:bCs/>
          <w:sz w:val="28"/>
          <w:szCs w:val="28"/>
        </w:rPr>
        <w:fldChar w:fldCharType="begin"/>
      </w:r>
      <w:r>
        <w:rPr>
          <w:rFonts w:asciiTheme="minorEastAsia" w:hAnsiTheme="minorEastAsia" w:eastAsiaTheme="minorEastAsia" w:cstheme="minorEastAsia"/>
          <w:b/>
          <w:bCs/>
          <w:sz w:val="28"/>
          <w:szCs w:val="28"/>
        </w:rPr>
        <w:instrText xml:space="preserve">TOC \o "1-3" \h \u </w:instrText>
      </w:r>
      <w:r>
        <w:rPr>
          <w:rFonts w:asciiTheme="minorEastAsia" w:hAnsiTheme="minorEastAsia" w:eastAsiaTheme="minorEastAsia" w:cstheme="minorEastAsia"/>
          <w:b/>
          <w:bCs/>
          <w:sz w:val="28"/>
          <w:szCs w:val="28"/>
        </w:rPr>
        <w:fldChar w:fldCharType="separate"/>
      </w: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_Toc17407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第</w:t>
      </w:r>
      <w:r>
        <w:rPr>
          <w:rFonts w:hint="eastAsia" w:asciiTheme="minorEastAsia" w:hAnsiTheme="minorEastAsia" w:eastAsiaTheme="minorEastAsia" w:cstheme="minorEastAsia"/>
          <w:bCs/>
          <w:kern w:val="2"/>
          <w:szCs w:val="28"/>
          <w:lang w:val="en-US" w:eastAsia="zh-CN" w:bidi="ar-SA"/>
        </w:rPr>
        <w:t>一章 竞选邀请函</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_Toc17407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8"/>
          <w:lang w:val="en-US" w:eastAsia="zh-CN" w:bidi="ar-SA"/>
        </w:rPr>
        <w:fldChar w:fldCharType="end"/>
      </w:r>
    </w:p>
    <w:p>
      <w:pPr>
        <w:pStyle w:val="15"/>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_Toc4972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第</w:t>
      </w:r>
      <w:r>
        <w:rPr>
          <w:rFonts w:hint="eastAsia" w:asciiTheme="minorEastAsia" w:hAnsiTheme="minorEastAsia" w:eastAsiaTheme="minorEastAsia" w:cstheme="minorEastAsia"/>
          <w:bCs/>
          <w:kern w:val="2"/>
          <w:szCs w:val="28"/>
          <w:lang w:val="en-US" w:eastAsia="zh-CN" w:bidi="ar-SA"/>
        </w:rPr>
        <w:t>二章 竞选人须知</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_Toc4972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4</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_Toc25497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一</w:t>
      </w:r>
      <w:r>
        <w:rPr>
          <w:rFonts w:hint="eastAsia" w:asciiTheme="minorEastAsia" w:hAnsiTheme="minorEastAsia" w:eastAsiaTheme="minorEastAsia" w:cstheme="minorEastAsia"/>
          <w:kern w:val="2"/>
          <w:szCs w:val="21"/>
          <w:lang w:val="en-US" w:eastAsia="zh-CN" w:bidi="ar-SA"/>
        </w:rPr>
        <w:t>、 总体说明</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_Toc25497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4</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_Toc28068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二</w:t>
      </w:r>
      <w:r>
        <w:rPr>
          <w:rFonts w:hint="eastAsia" w:asciiTheme="minorEastAsia" w:hAnsiTheme="minorEastAsia" w:eastAsiaTheme="minorEastAsia" w:cstheme="minorEastAsia"/>
          <w:kern w:val="2"/>
          <w:szCs w:val="21"/>
          <w:lang w:val="en-US" w:eastAsia="zh-CN" w:bidi="ar-SA"/>
        </w:rPr>
        <w:t>、 采购文件</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_Toc28068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6</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_Toc32254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三</w:t>
      </w:r>
      <w:r>
        <w:rPr>
          <w:rFonts w:hint="eastAsia" w:asciiTheme="minorEastAsia" w:hAnsiTheme="minorEastAsia" w:eastAsiaTheme="minorEastAsia" w:cstheme="minorEastAsia"/>
          <w:kern w:val="2"/>
          <w:szCs w:val="21"/>
          <w:lang w:val="en-US" w:eastAsia="zh-CN" w:bidi="ar-SA"/>
        </w:rPr>
        <w:t>、 响应文件</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_Toc32254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6</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_Toc9967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四</w:t>
      </w:r>
      <w:r>
        <w:rPr>
          <w:rFonts w:hint="eastAsia" w:asciiTheme="minorEastAsia" w:hAnsiTheme="minorEastAsia" w:eastAsiaTheme="minorEastAsia" w:cstheme="minorEastAsia"/>
          <w:kern w:val="2"/>
          <w:szCs w:val="21"/>
          <w:lang w:val="en-US" w:eastAsia="zh-CN" w:bidi="ar-SA"/>
        </w:rPr>
        <w:t>、 响应总则</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_Toc9967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8</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1"/>
          <w:lang w:val="en-US" w:eastAsia="zh-CN" w:bidi="ar-SA"/>
        </w:rPr>
        <w:fldChar w:fldCharType="end"/>
      </w:r>
    </w:p>
    <w:p>
      <w:pPr>
        <w:pStyle w:val="15"/>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_Toc11723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第</w:t>
      </w:r>
      <w:r>
        <w:rPr>
          <w:rFonts w:hint="eastAsia" w:asciiTheme="minorEastAsia" w:hAnsiTheme="minorEastAsia" w:eastAsiaTheme="minorEastAsia" w:cstheme="minorEastAsia"/>
          <w:bCs/>
          <w:kern w:val="2"/>
          <w:szCs w:val="28"/>
          <w:lang w:val="en-US" w:eastAsia="zh-CN" w:bidi="ar-SA"/>
        </w:rPr>
        <w:t>三章 用户需求书</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_Toc11723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8</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_Toc9498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一</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项目需求</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_Toc9498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8</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_Toc10425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二</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项目技术参数及要求</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_Toc10425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9</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_Toc31146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三</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项目商务要求</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_Toc31146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14</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15"/>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_Toc27164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第</w:t>
      </w:r>
      <w:r>
        <w:rPr>
          <w:rFonts w:hint="eastAsia" w:asciiTheme="minorEastAsia" w:hAnsiTheme="minorEastAsia" w:eastAsiaTheme="minorEastAsia" w:cstheme="minorEastAsia"/>
          <w:bCs/>
          <w:kern w:val="2"/>
          <w:szCs w:val="28"/>
          <w:lang w:val="en-US" w:eastAsia="zh-CN" w:bidi="ar-SA"/>
        </w:rPr>
        <w:t>四章 评审方式及程序</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_Toc27164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16</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_Toc19170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一</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评审方式</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_Toc19170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16</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_Toc15977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二</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评审程序</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_Toc15977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16</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9"/>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_Toc23998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1</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响应文件符合性审查</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_Toc23998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16</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9"/>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_Toc8119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2</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响应文件的澄清</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_Toc8119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17</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9"/>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_Toc4305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3</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比较与评审</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_Toc4305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17</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9"/>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_Toc5028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4</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综合评分的计算</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_Toc5028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17</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9"/>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_Toc22328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5</w:t>
      </w:r>
      <w:r>
        <w:rPr>
          <w:rFonts w:hint="eastAsia" w:ascii="宋体" w:hAnsi="宋体" w:eastAsia="宋体" w:cs="宋体"/>
          <w:kern w:val="2"/>
          <w:szCs w:val="21"/>
          <w:lang w:val="en-US" w:eastAsia="zh-CN" w:bidi="ar-SA"/>
        </w:rPr>
        <w:t xml:space="preserve">． </w:t>
      </w:r>
      <w:r>
        <w:rPr>
          <w:rFonts w:hint="eastAsia" w:asciiTheme="minorEastAsia" w:hAnsiTheme="minorEastAsia" w:eastAsiaTheme="minorEastAsia" w:cstheme="minorEastAsia"/>
          <w:kern w:val="2"/>
          <w:szCs w:val="21"/>
          <w:lang w:val="en-US" w:eastAsia="zh-CN" w:bidi="ar-SA"/>
        </w:rPr>
        <w:t>确定中选人</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_Toc22328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17</w:t>
      </w:r>
      <w:r>
        <w:rPr>
          <w:rFonts w:ascii="Times New Roman" w:hAnsi="Times New Roman" w:eastAsia="宋体" w:cs="Times New Roman"/>
          <w:kern w:val="2"/>
          <w:szCs w:val="24"/>
          <w:lang w:val="en-US" w:eastAsia="zh-CN" w:bidi="ar-SA"/>
        </w:rPr>
        <w:fldChar w:fldCharType="end"/>
      </w:r>
      <w:r>
        <w:rPr>
          <w:rFonts w:hint="eastAsia" w:ascii="宋体" w:hAnsi="宋体" w:eastAsia="宋体" w:cs="宋体"/>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_Toc32002 </w:instrText>
      </w:r>
      <w:r>
        <w:rPr>
          <w:rFonts w:asciiTheme="minorEastAsia" w:hAnsiTheme="minorEastAsia" w:eastAsiaTheme="minorEastAsia" w:cstheme="minorEastAsia"/>
          <w:bCs/>
          <w:kern w:val="2"/>
          <w:szCs w:val="28"/>
          <w:lang w:val="en-US" w:eastAsia="zh-CN" w:bidi="ar-SA"/>
        </w:rPr>
        <w:fldChar w:fldCharType="separate"/>
      </w:r>
      <w:r>
        <w:rPr>
          <w:rFonts w:hint="eastAsia" w:ascii="黑体" w:hAnsi="黑体" w:eastAsia="黑体" w:cs="黑体"/>
          <w:kern w:val="2"/>
          <w:szCs w:val="28"/>
          <w:lang w:val="en-US" w:eastAsia="zh-CN" w:bidi="ar-SA"/>
        </w:rPr>
        <w:t>附表一</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_Toc32002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18</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_Toc31742 </w:instrText>
      </w:r>
      <w:r>
        <w:rPr>
          <w:rFonts w:asciiTheme="minorEastAsia" w:hAnsiTheme="minorEastAsia" w:eastAsiaTheme="minorEastAsia" w:cstheme="minorEastAsia"/>
          <w:bCs/>
          <w:kern w:val="2"/>
          <w:szCs w:val="28"/>
          <w:lang w:val="en-US" w:eastAsia="zh-CN" w:bidi="ar-SA"/>
        </w:rPr>
        <w:fldChar w:fldCharType="separate"/>
      </w:r>
      <w:r>
        <w:rPr>
          <w:rFonts w:hint="eastAsia" w:ascii="黑体" w:hAnsi="黑体" w:eastAsia="黑体" w:cs="黑体"/>
          <w:kern w:val="2"/>
          <w:szCs w:val="28"/>
          <w:lang w:val="en-US" w:eastAsia="zh-CN" w:bidi="ar-SA"/>
        </w:rPr>
        <w:t>资格性、符合性审查表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_Toc31742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19</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_Toc10289 </w:instrText>
      </w:r>
      <w:r>
        <w:rPr>
          <w:rFonts w:asciiTheme="minorEastAsia" w:hAnsiTheme="minorEastAsia" w:eastAsiaTheme="minorEastAsia" w:cstheme="minorEastAsia"/>
          <w:bCs/>
          <w:kern w:val="2"/>
          <w:szCs w:val="28"/>
          <w:lang w:val="en-US" w:eastAsia="zh-CN" w:bidi="ar-SA"/>
        </w:rPr>
        <w:fldChar w:fldCharType="separate"/>
      </w:r>
      <w:r>
        <w:rPr>
          <w:rFonts w:hint="eastAsia" w:ascii="黑体" w:hAnsi="黑体" w:eastAsia="黑体" w:cs="黑体"/>
          <w:kern w:val="2"/>
          <w:szCs w:val="28"/>
          <w:lang w:val="en-US" w:eastAsia="zh-CN" w:bidi="ar-SA"/>
        </w:rPr>
        <w:t>附表二</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_Toc10289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19</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_Toc31126 </w:instrText>
      </w:r>
      <w:r>
        <w:rPr>
          <w:rFonts w:asciiTheme="minorEastAsia" w:hAnsiTheme="minorEastAsia" w:eastAsiaTheme="minorEastAsia" w:cstheme="minorEastAsia"/>
          <w:bCs/>
          <w:kern w:val="2"/>
          <w:szCs w:val="28"/>
          <w:lang w:val="en-US" w:eastAsia="zh-CN" w:bidi="ar-SA"/>
        </w:rPr>
        <w:fldChar w:fldCharType="separate"/>
      </w:r>
      <w:r>
        <w:rPr>
          <w:rFonts w:hint="eastAsia" w:ascii="黑体" w:hAnsi="黑体" w:eastAsia="黑体" w:cs="黑体"/>
          <w:kern w:val="2"/>
          <w:szCs w:val="28"/>
          <w:lang w:val="en-US" w:eastAsia="zh-CN" w:bidi="ar-SA"/>
        </w:rPr>
        <w:t>技术商务部分评分表（65分）</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_Toc31126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20</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_Toc20249 </w:instrText>
      </w:r>
      <w:r>
        <w:rPr>
          <w:rFonts w:asciiTheme="minorEastAsia" w:hAnsiTheme="minorEastAsia" w:eastAsiaTheme="minorEastAsia" w:cstheme="minorEastAsia"/>
          <w:bCs/>
          <w:kern w:val="2"/>
          <w:szCs w:val="28"/>
          <w:lang w:val="en-US" w:eastAsia="zh-CN" w:bidi="ar-SA"/>
        </w:rPr>
        <w:fldChar w:fldCharType="separate"/>
      </w:r>
      <w:r>
        <w:rPr>
          <w:rFonts w:hint="eastAsia" w:ascii="黑体" w:hAnsi="黑体" w:eastAsia="黑体" w:cs="黑体"/>
          <w:kern w:val="2"/>
          <w:szCs w:val="28"/>
          <w:lang w:val="en-US" w:eastAsia="zh-CN" w:bidi="ar-SA"/>
        </w:rPr>
        <w:t>附表三</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_Toc20249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22</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_Toc20075 </w:instrText>
      </w:r>
      <w:r>
        <w:rPr>
          <w:rFonts w:asciiTheme="minorEastAsia" w:hAnsiTheme="minorEastAsia" w:eastAsiaTheme="minorEastAsia" w:cstheme="minorEastAsia"/>
          <w:bCs/>
          <w:kern w:val="2"/>
          <w:szCs w:val="28"/>
          <w:lang w:val="en-US" w:eastAsia="zh-CN" w:bidi="ar-SA"/>
        </w:rPr>
        <w:fldChar w:fldCharType="separate"/>
      </w:r>
      <w:r>
        <w:rPr>
          <w:rFonts w:hint="eastAsia" w:ascii="黑体" w:hAnsi="黑体" w:eastAsia="黑体" w:cs="黑体"/>
          <w:kern w:val="2"/>
          <w:szCs w:val="28"/>
          <w:lang w:val="en-US" w:eastAsia="zh-CN" w:bidi="ar-SA"/>
        </w:rPr>
        <w:t>价 格 评 分 表（35分）</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_Toc20075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22</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5"/>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_Toc31259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第</w:t>
      </w:r>
      <w:r>
        <w:rPr>
          <w:rFonts w:hint="eastAsia" w:asciiTheme="minorEastAsia" w:hAnsiTheme="minorEastAsia" w:eastAsiaTheme="minorEastAsia" w:cstheme="minorEastAsia"/>
          <w:bCs/>
          <w:kern w:val="2"/>
          <w:szCs w:val="28"/>
          <w:lang w:val="en-US" w:eastAsia="zh-CN" w:bidi="ar-SA"/>
        </w:rPr>
        <w:t>五章 响应文件格式</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_Toc31259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23</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_Toc16008 </w:instrText>
      </w:r>
      <w:r>
        <w:rPr>
          <w:rFonts w:asciiTheme="minorEastAsia" w:hAnsiTheme="minorEastAsia" w:eastAsiaTheme="minorEastAsia" w:cstheme="minorEastAsia"/>
          <w:bCs/>
          <w:kern w:val="2"/>
          <w:szCs w:val="28"/>
          <w:lang w:val="en-US" w:eastAsia="zh-CN" w:bidi="ar-SA"/>
        </w:rPr>
        <w:fldChar w:fldCharType="separate"/>
      </w:r>
      <w:r>
        <w:rPr>
          <w:rFonts w:hint="eastAsia" w:ascii="Times New Roman" w:hAnsi="Times New Roman" w:eastAsia="宋体" w:cs="Times New Roman"/>
          <w:kern w:val="2"/>
          <w:szCs w:val="22"/>
          <w:lang w:val="en-US" w:eastAsia="zh-CN" w:bidi="ar-SA"/>
        </w:rPr>
        <w:t>响应文件包装封面参考</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_Toc16008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23</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_Toc3450 </w:instrText>
      </w:r>
      <w:r>
        <w:rPr>
          <w:rFonts w:asciiTheme="minorEastAsia" w:hAnsiTheme="minorEastAsia" w:eastAsiaTheme="minorEastAsia" w:cstheme="minorEastAsia"/>
          <w:bCs/>
          <w:kern w:val="2"/>
          <w:szCs w:val="28"/>
          <w:lang w:val="en-US" w:eastAsia="zh-CN" w:bidi="ar-SA"/>
        </w:rPr>
        <w:fldChar w:fldCharType="separate"/>
      </w:r>
      <w:r>
        <w:rPr>
          <w:rFonts w:hint="eastAsia" w:ascii="Times New Roman" w:hAnsi="Times New Roman" w:eastAsia="宋体" w:cs="Times New Roman"/>
          <w:kern w:val="2"/>
          <w:szCs w:val="22"/>
          <w:lang w:val="en-US" w:eastAsia="zh-CN" w:bidi="ar-SA"/>
        </w:rPr>
        <w:t>响应报价文件目录表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_Toc3450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24</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_Toc13287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格式1：响应函</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_Toc13287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25</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_Toc3844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格式2：法定代表人证明及授权书</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_Toc3844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27</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_Toc14835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格式3：实质性条款响应一览表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_Toc14835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28</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_Toc19970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格式4：竞选货物的详细情况</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_Toc19970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29</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_Toc13874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格式5：货物技术参数响应一览表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_Toc13874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30</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_Toc10172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格式6：货物技术服务方案</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_Toc10172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31</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_Toc20283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格式7：</w:t>
      </w:r>
      <w:r>
        <w:rPr>
          <w:rFonts w:hint="eastAsia" w:asciiTheme="minorEastAsia" w:hAnsiTheme="minorEastAsia" w:eastAsiaTheme="minorEastAsia" w:cstheme="minorEastAsia"/>
          <w:kern w:val="2"/>
          <w:szCs w:val="24"/>
          <w:lang w:val="zh-CN" w:eastAsia="zh-CN" w:bidi="ar-SA"/>
        </w:rPr>
        <w:t>2017年至今</w:t>
      </w:r>
      <w:r>
        <w:rPr>
          <w:rFonts w:hint="eastAsia" w:asciiTheme="minorEastAsia" w:hAnsiTheme="minorEastAsia" w:eastAsiaTheme="minorEastAsia" w:cstheme="minorEastAsia"/>
          <w:kern w:val="2"/>
          <w:szCs w:val="24"/>
          <w:lang w:val="en-US" w:eastAsia="zh-CN" w:bidi="ar-SA"/>
        </w:rPr>
        <w:t>实验室仪器设备</w:t>
      </w:r>
      <w:r>
        <w:rPr>
          <w:rFonts w:hint="eastAsia" w:asciiTheme="minorEastAsia" w:hAnsiTheme="minorEastAsia" w:eastAsiaTheme="minorEastAsia" w:cstheme="minorEastAsia"/>
          <w:kern w:val="2"/>
          <w:szCs w:val="24"/>
          <w:lang w:val="zh-CN" w:eastAsia="zh-CN" w:bidi="ar-SA"/>
        </w:rPr>
        <w:t>类项目业绩</w:t>
      </w:r>
      <w:r>
        <w:rPr>
          <w:rFonts w:hint="eastAsia" w:asciiTheme="minorEastAsia" w:hAnsiTheme="minorEastAsia" w:eastAsiaTheme="minorEastAsia" w:cstheme="minorEastAsia"/>
          <w:kern w:val="2"/>
          <w:szCs w:val="24"/>
          <w:lang w:val="en-US" w:eastAsia="zh-CN" w:bidi="ar-SA"/>
        </w:rPr>
        <w:t>一览表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_Toc20283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32</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_Toc13592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4"/>
          <w:lang w:val="en-US" w:eastAsia="zh-CN" w:bidi="ar-SA"/>
        </w:rPr>
        <w:t>格式8：拟派本项目负责人及主要人员情况表</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_Toc13592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33</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5"/>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_Toc15459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8"/>
          <w:lang w:val="en-US" w:eastAsia="zh-CN" w:bidi="ar-SA"/>
        </w:rPr>
        <w:t>第六章 合同通用条款</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_Toc15459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34</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_Toc21010 </w:instrText>
      </w:r>
      <w:r>
        <w:rPr>
          <w:rFonts w:asciiTheme="minorEastAsia" w:hAnsiTheme="minorEastAsia" w:eastAsiaTheme="minorEastAsia" w:cstheme="minorEastAsia"/>
          <w:bCs/>
          <w:kern w:val="2"/>
          <w:szCs w:val="28"/>
          <w:lang w:val="en-US" w:eastAsia="zh-CN" w:bidi="ar-SA"/>
        </w:rPr>
        <w:fldChar w:fldCharType="separate"/>
      </w:r>
      <w:r>
        <w:rPr>
          <w:rFonts w:hint="eastAsia" w:ascii="宋体" w:hAnsi="宋体" w:eastAsia="宋体" w:cs="Times New Roman"/>
          <w:kern w:val="2"/>
          <w:szCs w:val="21"/>
          <w:lang w:val="en-US" w:eastAsia="zh-CN" w:bidi="ar-SA"/>
        </w:rPr>
        <w:t>一、项目内容</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_Toc21010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34</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_Toc19394 </w:instrText>
      </w:r>
      <w:r>
        <w:rPr>
          <w:rFonts w:asciiTheme="minorEastAsia" w:hAnsiTheme="minorEastAsia" w:eastAsiaTheme="minorEastAsia" w:cstheme="minorEastAsia"/>
          <w:bCs/>
          <w:kern w:val="2"/>
          <w:szCs w:val="28"/>
          <w:lang w:val="en-US" w:eastAsia="zh-CN" w:bidi="ar-SA"/>
        </w:rPr>
        <w:fldChar w:fldCharType="separate"/>
      </w:r>
      <w:r>
        <w:rPr>
          <w:rFonts w:hint="eastAsia" w:ascii="Times New Roman" w:hAnsi="Times New Roman" w:eastAsia="宋体" w:cs="Times New Roman"/>
          <w:kern w:val="0"/>
          <w:szCs w:val="21"/>
          <w:lang w:val="en-US" w:eastAsia="zh-CN" w:bidi="ar-SA"/>
        </w:rPr>
        <w:t>二、交货要求</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_Toc19394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35</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_Toc13864 </w:instrText>
      </w:r>
      <w:r>
        <w:rPr>
          <w:rFonts w:asciiTheme="minorEastAsia" w:hAnsiTheme="minorEastAsia" w:eastAsiaTheme="minorEastAsia" w:cstheme="minorEastAsia"/>
          <w:bCs/>
          <w:kern w:val="2"/>
          <w:szCs w:val="28"/>
          <w:lang w:val="en-US" w:eastAsia="zh-CN" w:bidi="ar-SA"/>
        </w:rPr>
        <w:fldChar w:fldCharType="separate"/>
      </w:r>
      <w:r>
        <w:rPr>
          <w:rFonts w:hint="eastAsia" w:ascii="Times New Roman" w:hAnsi="Times New Roman" w:eastAsia="宋体" w:cs="Times New Roman"/>
          <w:kern w:val="0"/>
          <w:szCs w:val="21"/>
          <w:lang w:val="en-US" w:eastAsia="zh-CN" w:bidi="ar-SA"/>
        </w:rPr>
        <w:t>三、</w:t>
      </w:r>
      <w:r>
        <w:rPr>
          <w:rFonts w:hint="eastAsia" w:ascii="Times New Roman" w:hAnsi="Times New Roman" w:eastAsia="宋体" w:cs="Times New Roman"/>
          <w:kern w:val="0"/>
          <w:szCs w:val="21"/>
          <w:lang w:val="zh-CN" w:eastAsia="zh-CN" w:bidi="ar-SA"/>
        </w:rPr>
        <w:t>验收要求</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_Toc13864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35</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_Toc6535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kern w:val="2"/>
          <w:szCs w:val="21"/>
          <w:lang w:val="en-US" w:eastAsia="zh-CN" w:bidi="ar-SA"/>
        </w:rPr>
        <w:t>四、质保期、售后服务</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_Toc6535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36</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_Toc19690 </w:instrText>
      </w:r>
      <w:r>
        <w:rPr>
          <w:rFonts w:asciiTheme="minorEastAsia" w:hAnsiTheme="minorEastAsia" w:eastAsiaTheme="minorEastAsia" w:cstheme="minorEastAsia"/>
          <w:bCs/>
          <w:kern w:val="2"/>
          <w:szCs w:val="28"/>
          <w:lang w:val="en-US" w:eastAsia="zh-CN" w:bidi="ar-SA"/>
        </w:rPr>
        <w:fldChar w:fldCharType="separate"/>
      </w:r>
      <w:r>
        <w:rPr>
          <w:rFonts w:hint="eastAsia" w:asciiTheme="minorEastAsia" w:hAnsiTheme="minorEastAsia" w:eastAsiaTheme="minorEastAsia" w:cstheme="minorEastAsia"/>
          <w:bCs/>
          <w:kern w:val="2"/>
          <w:szCs w:val="21"/>
          <w:lang w:val="en-US" w:eastAsia="zh-CN" w:bidi="ar-SA"/>
        </w:rPr>
        <w:t>五、付款方式</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_Toc19690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36</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_Toc2732 </w:instrText>
      </w:r>
      <w:r>
        <w:rPr>
          <w:rFonts w:asciiTheme="minorEastAsia" w:hAnsiTheme="minorEastAsia" w:eastAsiaTheme="minorEastAsia" w:cstheme="minorEastAsia"/>
          <w:bCs/>
          <w:kern w:val="2"/>
          <w:szCs w:val="28"/>
          <w:lang w:val="en-US" w:eastAsia="zh-CN" w:bidi="ar-SA"/>
        </w:rPr>
        <w:fldChar w:fldCharType="separate"/>
      </w:r>
      <w:r>
        <w:rPr>
          <w:rFonts w:ascii="Times New Roman" w:hAnsi="Times New Roman" w:eastAsia="宋体" w:cs="Times New Roman"/>
          <w:kern w:val="2"/>
          <w:szCs w:val="24"/>
          <w:lang w:val="en-US" w:eastAsia="zh-CN" w:bidi="ar-SA"/>
        </w:rPr>
        <w:t>六</w:t>
      </w:r>
      <w:r>
        <w:rPr>
          <w:rFonts w:hint="eastAsia" w:asciiTheme="minorEastAsia" w:hAnsiTheme="minorEastAsia" w:eastAsiaTheme="minorEastAsia" w:cstheme="minorEastAsia"/>
          <w:bCs/>
          <w:kern w:val="2"/>
          <w:szCs w:val="21"/>
          <w:lang w:val="en-US" w:eastAsia="zh-CN" w:bidi="ar-SA"/>
        </w:rPr>
        <w:t>、 保密</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_Toc2732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37</w:t>
      </w:r>
      <w:r>
        <w:rPr>
          <w:rFonts w:ascii="Times New Roman" w:hAnsi="Times New Roman" w:eastAsia="宋体" w:cs="Times New Roman"/>
          <w:kern w:val="2"/>
          <w:szCs w:val="24"/>
          <w:lang w:val="en-US" w:eastAsia="zh-CN" w:bidi="ar-SA"/>
        </w:rPr>
        <w:fldChar w:fldCharType="end"/>
      </w:r>
      <w:r>
        <w:rPr>
          <w:rFonts w:hint="eastAsia" w:asciiTheme="minorEastAsia" w:hAnsiTheme="minorEastAsia" w:eastAsiaTheme="minorEastAsia" w:cstheme="minorEastAsia"/>
          <w:bCs/>
          <w:kern w:val="2"/>
          <w:szCs w:val="21"/>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_Toc14419 </w:instrText>
      </w:r>
      <w:r>
        <w:rPr>
          <w:rFonts w:asciiTheme="minorEastAsia" w:hAnsiTheme="minorEastAsia" w:eastAsiaTheme="minorEastAsia" w:cstheme="minorEastAsia"/>
          <w:bCs/>
          <w:kern w:val="2"/>
          <w:szCs w:val="28"/>
          <w:lang w:val="en-US" w:eastAsia="zh-CN" w:bidi="ar-SA"/>
        </w:rPr>
        <w:fldChar w:fldCharType="separate"/>
      </w:r>
      <w:r>
        <w:rPr>
          <w:rFonts w:hint="eastAsia" w:ascii="宋体" w:hAnsi="宋体" w:eastAsia="宋体" w:cs="Times New Roman"/>
          <w:kern w:val="2"/>
          <w:szCs w:val="21"/>
          <w:lang w:val="en-US" w:eastAsia="zh-CN" w:bidi="ar-SA"/>
        </w:rPr>
        <w:t>七、知识产权</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_Toc14419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37</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_Toc28299 </w:instrText>
      </w:r>
      <w:r>
        <w:rPr>
          <w:rFonts w:asciiTheme="minorEastAsia" w:hAnsiTheme="minorEastAsia" w:eastAsiaTheme="minorEastAsia" w:cstheme="minorEastAsia"/>
          <w:bCs/>
          <w:kern w:val="2"/>
          <w:szCs w:val="28"/>
          <w:lang w:val="en-US" w:eastAsia="zh-CN" w:bidi="ar-SA"/>
        </w:rPr>
        <w:fldChar w:fldCharType="separate"/>
      </w:r>
      <w:r>
        <w:rPr>
          <w:rFonts w:hint="eastAsia" w:ascii="宋体" w:hAnsi="宋体" w:eastAsia="宋体" w:cs="Times New Roman"/>
          <w:kern w:val="2"/>
          <w:szCs w:val="21"/>
          <w:lang w:val="en-US" w:eastAsia="zh-CN" w:bidi="ar-SA"/>
        </w:rPr>
        <w:t>八、违约责任与赔偿损失</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_Toc28299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37</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_Toc29328 </w:instrText>
      </w:r>
      <w:r>
        <w:rPr>
          <w:rFonts w:asciiTheme="minorEastAsia" w:hAnsiTheme="minorEastAsia" w:eastAsiaTheme="minorEastAsia" w:cstheme="minorEastAsia"/>
          <w:bCs/>
          <w:kern w:val="2"/>
          <w:szCs w:val="28"/>
          <w:lang w:val="en-US" w:eastAsia="zh-CN" w:bidi="ar-SA"/>
        </w:rPr>
        <w:fldChar w:fldCharType="separate"/>
      </w:r>
      <w:r>
        <w:rPr>
          <w:rFonts w:hint="eastAsia" w:ascii="宋体" w:hAnsi="宋体" w:eastAsia="宋体" w:cs="Times New Roman"/>
          <w:kern w:val="2"/>
          <w:szCs w:val="21"/>
          <w:lang w:val="en-US" w:eastAsia="zh-CN" w:bidi="ar-SA"/>
        </w:rPr>
        <w:t>九、不可抗力</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_Toc29328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38</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_Toc1510 </w:instrText>
      </w:r>
      <w:r>
        <w:rPr>
          <w:rFonts w:asciiTheme="minorEastAsia" w:hAnsiTheme="minorEastAsia" w:eastAsiaTheme="minorEastAsia" w:cstheme="minorEastAsia"/>
          <w:bCs/>
          <w:kern w:val="2"/>
          <w:szCs w:val="28"/>
          <w:lang w:val="en-US" w:eastAsia="zh-CN" w:bidi="ar-SA"/>
        </w:rPr>
        <w:fldChar w:fldCharType="separate"/>
      </w:r>
      <w:r>
        <w:rPr>
          <w:rFonts w:hint="eastAsia" w:ascii="宋体" w:hAnsi="宋体" w:eastAsia="宋体" w:cs="Times New Roman"/>
          <w:kern w:val="2"/>
          <w:szCs w:val="21"/>
          <w:lang w:val="en-US" w:eastAsia="zh-CN" w:bidi="ar-SA"/>
        </w:rPr>
        <w:t>十、争议及解决办法</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_Toc1510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38</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_Toc29540 </w:instrText>
      </w:r>
      <w:r>
        <w:rPr>
          <w:rFonts w:asciiTheme="minorEastAsia" w:hAnsiTheme="minorEastAsia" w:eastAsiaTheme="minorEastAsia" w:cstheme="minorEastAsia"/>
          <w:bCs/>
          <w:kern w:val="2"/>
          <w:szCs w:val="28"/>
          <w:lang w:val="en-US" w:eastAsia="zh-CN" w:bidi="ar-SA"/>
        </w:rPr>
        <w:fldChar w:fldCharType="separate"/>
      </w:r>
      <w:r>
        <w:rPr>
          <w:rFonts w:hint="eastAsia" w:ascii="宋体" w:hAnsi="宋体" w:eastAsia="宋体" w:cs="Times New Roman"/>
          <w:kern w:val="2"/>
          <w:szCs w:val="21"/>
          <w:lang w:val="en-US" w:eastAsia="zh-CN" w:bidi="ar-SA"/>
        </w:rPr>
        <w:t>十一、法律效力</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_Toc29540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38</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18"/>
        <w:tabs>
          <w:tab w:val="right" w:leader="dot" w:pos="9242"/>
        </w:tabs>
        <w:rPr>
          <w:rFonts w:ascii="Times New Roman" w:hAnsi="Times New Roman" w:eastAsia="宋体" w:cs="Times New Roman"/>
          <w:kern w:val="2"/>
          <w:szCs w:val="24"/>
          <w:lang w:val="en-US" w:eastAsia="zh-CN" w:bidi="ar-SA"/>
        </w:rPr>
      </w:pPr>
      <w:r>
        <w:rPr>
          <w:rFonts w:asciiTheme="minorEastAsia" w:hAnsiTheme="minorEastAsia" w:eastAsiaTheme="minorEastAsia" w:cstheme="minorEastAsia"/>
          <w:bCs/>
          <w:kern w:val="2"/>
          <w:szCs w:val="28"/>
          <w:lang w:val="en-US" w:eastAsia="zh-CN" w:bidi="ar-SA"/>
        </w:rPr>
        <w:fldChar w:fldCharType="begin"/>
      </w:r>
      <w:r>
        <w:rPr>
          <w:rFonts w:asciiTheme="minorEastAsia" w:hAnsiTheme="minorEastAsia" w:eastAsiaTheme="minorEastAsia" w:cstheme="minorEastAsia"/>
          <w:bCs/>
          <w:kern w:val="2"/>
          <w:szCs w:val="28"/>
          <w:lang w:val="en-US" w:eastAsia="zh-CN" w:bidi="ar-SA"/>
        </w:rPr>
        <w:instrText xml:space="preserve"> HYPERLINK \l _Toc25436 </w:instrText>
      </w:r>
      <w:r>
        <w:rPr>
          <w:rFonts w:asciiTheme="minorEastAsia" w:hAnsiTheme="minorEastAsia" w:eastAsiaTheme="minorEastAsia" w:cstheme="minorEastAsia"/>
          <w:bCs/>
          <w:kern w:val="2"/>
          <w:szCs w:val="28"/>
          <w:lang w:val="en-US" w:eastAsia="zh-CN" w:bidi="ar-SA"/>
        </w:rPr>
        <w:fldChar w:fldCharType="separate"/>
      </w:r>
      <w:r>
        <w:rPr>
          <w:rFonts w:hint="eastAsia" w:ascii="宋体" w:hAnsi="宋体" w:eastAsia="宋体" w:cs="Times New Roman"/>
          <w:kern w:val="2"/>
          <w:szCs w:val="21"/>
          <w:lang w:val="en-US" w:eastAsia="zh-CN" w:bidi="ar-SA"/>
        </w:rPr>
        <w:t>十二、合同附件</w:t>
      </w:r>
      <w:r>
        <w:rPr>
          <w:rFonts w:ascii="Times New Roman" w:hAnsi="Times New Roman" w:eastAsia="宋体" w:cs="Times New Roman"/>
          <w:kern w:val="2"/>
          <w:szCs w:val="24"/>
          <w:lang w:val="en-US" w:eastAsia="zh-CN" w:bidi="ar-SA"/>
        </w:rPr>
        <w:tab/>
      </w:r>
      <w:r>
        <w:rPr>
          <w:rFonts w:ascii="Times New Roman" w:hAnsi="Times New Roman" w:eastAsia="宋体" w:cs="Times New Roman"/>
          <w:kern w:val="2"/>
          <w:szCs w:val="24"/>
          <w:lang w:val="en-US" w:eastAsia="zh-CN" w:bidi="ar-SA"/>
        </w:rPr>
        <w:fldChar w:fldCharType="begin"/>
      </w:r>
      <w:r>
        <w:rPr>
          <w:rFonts w:ascii="Times New Roman" w:hAnsi="Times New Roman" w:eastAsia="宋体" w:cs="Times New Roman"/>
          <w:kern w:val="2"/>
          <w:szCs w:val="24"/>
          <w:lang w:val="en-US" w:eastAsia="zh-CN" w:bidi="ar-SA"/>
        </w:rPr>
        <w:instrText xml:space="preserve"> PAGEREF _Toc25436 </w:instrText>
      </w:r>
      <w:r>
        <w:rPr>
          <w:rFonts w:ascii="Times New Roman" w:hAnsi="Times New Roman" w:eastAsia="宋体" w:cs="Times New Roman"/>
          <w:kern w:val="2"/>
          <w:szCs w:val="24"/>
          <w:lang w:val="en-US" w:eastAsia="zh-CN" w:bidi="ar-SA"/>
        </w:rPr>
        <w:fldChar w:fldCharType="separate"/>
      </w:r>
      <w:r>
        <w:rPr>
          <w:rFonts w:ascii="Times New Roman" w:hAnsi="Times New Roman" w:eastAsia="宋体" w:cs="Times New Roman"/>
          <w:kern w:val="2"/>
          <w:szCs w:val="24"/>
          <w:lang w:val="en-US" w:eastAsia="zh-CN" w:bidi="ar-SA"/>
        </w:rPr>
        <w:t>38</w:t>
      </w:r>
      <w:r>
        <w:rPr>
          <w:rFonts w:ascii="Times New Roman" w:hAnsi="Times New Roman" w:eastAsia="宋体" w:cs="Times New Roman"/>
          <w:kern w:val="2"/>
          <w:szCs w:val="24"/>
          <w:lang w:val="en-US" w:eastAsia="zh-CN" w:bidi="ar-SA"/>
        </w:rPr>
        <w:fldChar w:fldCharType="end"/>
      </w:r>
      <w:r>
        <w:rPr>
          <w:rFonts w:asciiTheme="minorEastAsia" w:hAnsiTheme="minorEastAsia" w:eastAsiaTheme="minorEastAsia" w:cstheme="minorEastAsia"/>
          <w:bCs/>
          <w:kern w:val="2"/>
          <w:szCs w:val="28"/>
          <w:lang w:val="en-US" w:eastAsia="zh-CN" w:bidi="ar-SA"/>
        </w:rPr>
        <w:fldChar w:fldCharType="end"/>
      </w:r>
    </w:p>
    <w:p>
      <w:pPr>
        <w:pStyle w:val="3"/>
        <w:rPr>
          <w:rFonts w:asciiTheme="minorEastAsia" w:hAnsiTheme="minorEastAsia" w:eastAsiaTheme="minorEastAsia" w:cstheme="minorEastAsia"/>
          <w:b/>
          <w:bCs/>
          <w:sz w:val="28"/>
          <w:szCs w:val="28"/>
        </w:rPr>
      </w:pPr>
      <w:r>
        <w:rPr>
          <w:rFonts w:asciiTheme="minorEastAsia" w:hAnsiTheme="minorEastAsia" w:eastAsiaTheme="minorEastAsia" w:cstheme="minorEastAsia"/>
          <w:bCs/>
          <w:kern w:val="2"/>
          <w:szCs w:val="28"/>
          <w:lang w:val="en-US" w:eastAsia="zh-CN" w:bidi="ar-SA"/>
        </w:rPr>
        <w:fldChar w:fldCharType="end"/>
      </w:r>
    </w:p>
    <w:p>
      <w:pPr>
        <w:pStyle w:val="3"/>
        <w:rPr>
          <w:rFonts w:asciiTheme="minorEastAsia" w:hAnsiTheme="minorEastAsia" w:eastAsiaTheme="minorEastAsia" w:cstheme="minorEastAsia"/>
          <w:b/>
          <w:bCs/>
          <w:sz w:val="28"/>
          <w:szCs w:val="28"/>
        </w:rPr>
      </w:pPr>
    </w:p>
    <w:p>
      <w:pPr>
        <w:numPr>
          <w:ilvl w:val="0"/>
          <w:numId w:val="2"/>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bookmarkStart w:id="0" w:name="_Toc32568"/>
      <w:bookmarkStart w:id="1" w:name="_Toc17407"/>
      <w:r>
        <w:rPr>
          <w:rFonts w:hint="eastAsia" w:asciiTheme="minorEastAsia" w:hAnsiTheme="minorEastAsia" w:eastAsiaTheme="minorEastAsia" w:cstheme="minorEastAsia"/>
          <w:b/>
          <w:bCs/>
          <w:sz w:val="28"/>
          <w:szCs w:val="28"/>
        </w:rPr>
        <w:t>竞选邀请函</w:t>
      </w:r>
      <w:bookmarkEnd w:id="0"/>
      <w:bookmarkEnd w:id="1"/>
    </w:p>
    <w:p>
      <w:pPr>
        <w:numPr>
          <w:ilvl w:val="0"/>
          <w:numId w:val="3"/>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竞选项目编号：穗广科竞〔2020〕1号</w:t>
      </w:r>
    </w:p>
    <w:p>
      <w:pPr>
        <w:numPr>
          <w:ilvl w:val="0"/>
          <w:numId w:val="3"/>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竞选项目名称：广检集团广科院辐射检测仪器购置项目</w:t>
      </w:r>
    </w:p>
    <w:p>
      <w:pPr>
        <w:numPr>
          <w:ilvl w:val="0"/>
          <w:numId w:val="3"/>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竞选项目内容：</w:t>
      </w:r>
    </w:p>
    <w:tbl>
      <w:tblPr>
        <w:tblStyle w:val="21"/>
        <w:tblW w:w="93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807"/>
        <w:gridCol w:w="1312"/>
        <w:gridCol w:w="302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序号</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货物名称</w:t>
            </w: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数量（台）</w:t>
            </w:r>
          </w:p>
        </w:tc>
        <w:tc>
          <w:tcPr>
            <w:tcW w:w="3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最高限价</w:t>
            </w: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1</w:t>
            </w:r>
          </w:p>
        </w:tc>
        <w:tc>
          <w:tcPr>
            <w:tcW w:w="2807" w:type="dxa"/>
            <w:tcBorders>
              <w:top w:val="single" w:color="auto" w:sz="4" w:space="0"/>
              <w:left w:val="single" w:color="auto" w:sz="4" w:space="0"/>
              <w:bottom w:val="single" w:color="auto" w:sz="4" w:space="0"/>
              <w:right w:val="single" w:color="auto" w:sz="4" w:space="0"/>
            </w:tcBorders>
            <w:vAlign w:val="center"/>
          </w:tcPr>
          <w:p>
            <w:pPr>
              <w:outlineLvl w:val="9"/>
              <w:rPr>
                <w:rFonts w:ascii="宋体" w:hAnsi="宋体" w:cs="宋体"/>
                <w:sz w:val="21"/>
                <w:szCs w:val="21"/>
              </w:rPr>
            </w:pPr>
            <w:r>
              <w:rPr>
                <w:rFonts w:hint="eastAsia" w:ascii="宋体" w:hAnsi="宋体" w:cs="宋体"/>
                <w:b w:val="0"/>
                <w:bCs/>
                <w:sz w:val="21"/>
                <w:szCs w:val="21"/>
              </w:rPr>
              <w:t>便携式环境级x/γ剂量率仪</w:t>
            </w: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3029" w:type="dxa"/>
            <w:vMerge w:val="restart"/>
            <w:tcBorders>
              <w:top w:val="single" w:color="auto" w:sz="4" w:space="0"/>
              <w:left w:val="single" w:color="auto" w:sz="4" w:space="0"/>
              <w:right w:val="single" w:color="auto" w:sz="4" w:space="0"/>
            </w:tcBorders>
            <w:vAlign w:val="center"/>
          </w:tcPr>
          <w:p>
            <w:pPr>
              <w:pStyle w:val="22"/>
              <w:spacing w:line="240" w:lineRule="auto"/>
              <w:ind w:firstLine="120"/>
              <w:rPr>
                <w:rFonts w:ascii="宋体" w:hAnsi="宋体"/>
                <w:spacing w:val="0"/>
                <w:kern w:val="2"/>
                <w:sz w:val="21"/>
                <w:szCs w:val="21"/>
              </w:rPr>
            </w:pPr>
            <w:r>
              <w:rPr>
                <w:rFonts w:hint="eastAsia" w:ascii="宋体" w:hAnsi="宋体"/>
                <w:spacing w:val="0"/>
                <w:kern w:val="2"/>
                <w:sz w:val="21"/>
                <w:szCs w:val="21"/>
              </w:rPr>
              <w:t>人民币</w:t>
            </w:r>
            <w:r>
              <w:rPr>
                <w:rFonts w:hint="eastAsia" w:ascii="宋体" w:hAnsi="宋体"/>
                <w:spacing w:val="0"/>
                <w:kern w:val="2"/>
                <w:sz w:val="21"/>
                <w:szCs w:val="21"/>
                <w:u w:val="single"/>
              </w:rPr>
              <w:t xml:space="preserve"> 45 </w:t>
            </w:r>
            <w:r>
              <w:rPr>
                <w:rFonts w:hint="eastAsia" w:ascii="宋体" w:hAnsi="宋体"/>
                <w:spacing w:val="0"/>
                <w:kern w:val="2"/>
                <w:sz w:val="21"/>
                <w:szCs w:val="21"/>
              </w:rPr>
              <w:t>万元（含增值税）</w:t>
            </w:r>
          </w:p>
        </w:tc>
        <w:tc>
          <w:tcPr>
            <w:tcW w:w="1375" w:type="dxa"/>
            <w:vMerge w:val="restart"/>
            <w:tcBorders>
              <w:top w:val="single" w:color="auto" w:sz="4" w:space="0"/>
              <w:left w:val="single" w:color="auto" w:sz="4" w:space="0"/>
              <w:right w:val="single" w:color="auto" w:sz="4" w:space="0"/>
            </w:tcBorders>
            <w:vAlign w:val="center"/>
          </w:tcPr>
          <w:p>
            <w:pPr>
              <w:rPr>
                <w:rFonts w:ascii="宋体" w:hAnsi="宋体"/>
                <w:bCs/>
                <w:szCs w:val="21"/>
              </w:rPr>
            </w:pPr>
            <w:r>
              <w:rPr>
                <w:rFonts w:hint="eastAsia" w:ascii="宋体" w:hAnsi="宋体"/>
                <w:snapToGrid w:val="0"/>
                <w:szCs w:val="21"/>
                <w:lang w:val="zh-CN"/>
              </w:rPr>
              <w:t>合同签订之日起</w:t>
            </w:r>
            <w:r>
              <w:rPr>
                <w:rFonts w:hint="eastAsia" w:ascii="宋体" w:hAnsi="宋体"/>
                <w:snapToGrid w:val="0"/>
                <w:szCs w:val="21"/>
              </w:rPr>
              <w:t>15日历日</w:t>
            </w:r>
            <w:r>
              <w:rPr>
                <w:rFonts w:hint="eastAsia" w:ascii="宋体" w:hAnsi="宋体"/>
                <w:snapToGrid w:val="0"/>
                <w:szCs w:val="21"/>
                <w:lang w:val="zh-CN"/>
              </w:rPr>
              <w:t>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2</w:t>
            </w:r>
          </w:p>
        </w:tc>
        <w:tc>
          <w:tcPr>
            <w:tcW w:w="2807" w:type="dxa"/>
            <w:tcBorders>
              <w:top w:val="single" w:color="auto" w:sz="4" w:space="0"/>
              <w:left w:val="single" w:color="auto" w:sz="4" w:space="0"/>
              <w:bottom w:val="single" w:color="auto" w:sz="4" w:space="0"/>
              <w:right w:val="single" w:color="auto" w:sz="4" w:space="0"/>
            </w:tcBorders>
            <w:vAlign w:val="center"/>
          </w:tcPr>
          <w:p>
            <w:pPr>
              <w:outlineLvl w:val="9"/>
              <w:rPr>
                <w:rFonts w:ascii="宋体" w:hAnsi="宋体" w:cs="宋体"/>
                <w:sz w:val="21"/>
                <w:szCs w:val="21"/>
              </w:rPr>
            </w:pPr>
            <w:r>
              <w:rPr>
                <w:rFonts w:hint="eastAsia" w:ascii="宋体" w:hAnsi="宋体" w:cs="宋体"/>
                <w:b w:val="0"/>
                <w:bCs/>
                <w:sz w:val="21"/>
                <w:szCs w:val="21"/>
              </w:rPr>
              <w:t>α、β表面污染测量仪</w:t>
            </w: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3029" w:type="dxa"/>
            <w:vMerge w:val="continue"/>
            <w:tcBorders>
              <w:left w:val="single" w:color="auto" w:sz="4" w:space="0"/>
              <w:right w:val="single" w:color="auto" w:sz="4" w:space="0"/>
            </w:tcBorders>
            <w:vAlign w:val="center"/>
          </w:tcPr>
          <w:p>
            <w:pPr>
              <w:pStyle w:val="22"/>
              <w:spacing w:line="240" w:lineRule="auto"/>
              <w:ind w:firstLine="120"/>
              <w:rPr>
                <w:rFonts w:ascii="宋体" w:hAnsi="宋体"/>
                <w:spacing w:val="0"/>
                <w:kern w:val="2"/>
                <w:sz w:val="21"/>
                <w:szCs w:val="21"/>
              </w:rPr>
            </w:pPr>
          </w:p>
        </w:tc>
        <w:tc>
          <w:tcPr>
            <w:tcW w:w="1375" w:type="dxa"/>
            <w:vMerge w:val="continue"/>
            <w:tcBorders>
              <w:left w:val="single" w:color="auto" w:sz="4" w:space="0"/>
              <w:right w:val="single" w:color="auto" w:sz="4"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3</w:t>
            </w:r>
          </w:p>
        </w:tc>
        <w:tc>
          <w:tcPr>
            <w:tcW w:w="2807" w:type="dxa"/>
            <w:tcBorders>
              <w:top w:val="single" w:color="auto" w:sz="4" w:space="0"/>
              <w:left w:val="single" w:color="auto" w:sz="4" w:space="0"/>
              <w:bottom w:val="single" w:color="auto" w:sz="4" w:space="0"/>
              <w:right w:val="single" w:color="auto" w:sz="4" w:space="0"/>
            </w:tcBorders>
            <w:vAlign w:val="center"/>
          </w:tcPr>
          <w:p>
            <w:pPr>
              <w:outlineLvl w:val="9"/>
              <w:rPr>
                <w:rFonts w:ascii="宋体" w:hAnsi="宋体" w:cs="宋体"/>
                <w:sz w:val="21"/>
                <w:szCs w:val="21"/>
              </w:rPr>
            </w:pPr>
            <w:r>
              <w:rPr>
                <w:rFonts w:hint="eastAsia" w:ascii="宋体" w:hAnsi="宋体" w:cs="宋体"/>
                <w:b w:val="0"/>
                <w:bCs/>
                <w:sz w:val="21"/>
                <w:szCs w:val="21"/>
              </w:rPr>
              <w:t>电磁辐射分析仪</w:t>
            </w: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3029" w:type="dxa"/>
            <w:vMerge w:val="continue"/>
            <w:tcBorders>
              <w:left w:val="single" w:color="auto" w:sz="4" w:space="0"/>
              <w:right w:val="single" w:color="auto" w:sz="4" w:space="0"/>
            </w:tcBorders>
            <w:vAlign w:val="center"/>
          </w:tcPr>
          <w:p>
            <w:pPr>
              <w:pStyle w:val="22"/>
              <w:spacing w:line="240" w:lineRule="auto"/>
              <w:ind w:firstLine="120"/>
              <w:rPr>
                <w:rFonts w:ascii="宋体" w:hAnsi="宋体"/>
                <w:spacing w:val="0"/>
                <w:kern w:val="2"/>
                <w:sz w:val="21"/>
                <w:szCs w:val="21"/>
              </w:rPr>
            </w:pPr>
          </w:p>
        </w:tc>
        <w:tc>
          <w:tcPr>
            <w:tcW w:w="1375" w:type="dxa"/>
            <w:vMerge w:val="continue"/>
            <w:tcBorders>
              <w:left w:val="single" w:color="auto" w:sz="4" w:space="0"/>
              <w:right w:val="single" w:color="auto" w:sz="4" w:space="0"/>
            </w:tcBorders>
            <w:vAlign w:val="center"/>
          </w:tcPr>
          <w:p>
            <w:pPr>
              <w:jc w:val="center"/>
              <w:rPr>
                <w:rFonts w:ascii="宋体" w:hAnsi="宋体"/>
                <w:bCs/>
                <w:szCs w:val="21"/>
              </w:rPr>
            </w:pPr>
          </w:p>
        </w:tc>
      </w:tr>
    </w:tbl>
    <w:p>
      <w:pPr>
        <w:spacing w:line="360" w:lineRule="auto"/>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r>
        <w:rPr>
          <w:rFonts w:hint="eastAsia" w:ascii="宋体" w:hAnsi="宋体" w:cstheme="minorEastAsia"/>
        </w:rPr>
        <w:t xml:space="preserve">产品详细技术参数及执行标准、规格及服务要求等详见 </w:t>
      </w:r>
      <w:r>
        <w:rPr>
          <w:rFonts w:hint="eastAsia" w:asciiTheme="minorEastAsia" w:hAnsiTheme="minorEastAsia" w:eastAsiaTheme="minorEastAsia" w:cstheme="minorEastAsia"/>
          <w:bCs/>
          <w:szCs w:val="20"/>
        </w:rPr>
        <w:t>第三章 用户需求书</w:t>
      </w:r>
    </w:p>
    <w:p>
      <w:pPr>
        <w:numPr>
          <w:ilvl w:val="0"/>
          <w:numId w:val="3"/>
        </w:numPr>
        <w:snapToGrid w:val="0"/>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合格竞选人资格要求：</w:t>
      </w:r>
    </w:p>
    <w:p>
      <w:pPr>
        <w:numPr>
          <w:ilvl w:val="0"/>
          <w:numId w:val="4"/>
        </w:numPr>
        <w:spacing w:line="360" w:lineRule="auto"/>
        <w:rPr>
          <w:rFonts w:ascii="宋体" w:hAnsi="宋体"/>
          <w:szCs w:val="21"/>
        </w:rPr>
      </w:pPr>
      <w:r>
        <w:rPr>
          <w:rFonts w:hint="eastAsia" w:asciiTheme="minorEastAsia" w:hAnsiTheme="minorEastAsia" w:eastAsiaTheme="minorEastAsia" w:cstheme="minorEastAsia"/>
          <w:szCs w:val="21"/>
        </w:rPr>
        <w:t>竞选人应具备《中华人民共和国政府采购法》第二十二条规定的条件。</w:t>
      </w:r>
    </w:p>
    <w:p>
      <w:pPr>
        <w:numPr>
          <w:ilvl w:val="0"/>
          <w:numId w:val="4"/>
        </w:numPr>
        <w:spacing w:line="360" w:lineRule="auto"/>
        <w:rPr>
          <w:rFonts w:asciiTheme="minorEastAsia" w:hAnsiTheme="minorEastAsia" w:eastAsiaTheme="minorEastAsia" w:cstheme="minorEastAsia"/>
          <w:szCs w:val="21"/>
        </w:rPr>
      </w:pPr>
      <w:r>
        <w:rPr>
          <w:rFonts w:hint="eastAsia" w:ascii="宋体" w:hAnsi="宋体"/>
          <w:szCs w:val="21"/>
        </w:rPr>
        <w:t>竞选人须是在中华人民共和国境内注册的具有独立承担民事责任能力的法人，且具有本次采购项目经营、供货及服务能力。</w:t>
      </w:r>
    </w:p>
    <w:p>
      <w:pPr>
        <w:numPr>
          <w:ilvl w:val="0"/>
          <w:numId w:val="4"/>
        </w:numPr>
        <w:spacing w:line="360" w:lineRule="auto"/>
        <w:rPr>
          <w:rFonts w:ascii="宋体" w:hAnsi="宋体"/>
          <w:szCs w:val="21"/>
        </w:rPr>
      </w:pPr>
      <w:r>
        <w:rPr>
          <w:rFonts w:hint="eastAsia" w:asciiTheme="minorEastAsia" w:hAnsiTheme="minorEastAsia" w:eastAsiaTheme="minorEastAsia" w:cstheme="minorEastAsia"/>
          <w:szCs w:val="21"/>
        </w:rPr>
        <w:t>竞选人应提供响应截止前六个月内任意一个月缴纳税收的凭据证明材料复印件；如依法免税的，应提供相应文件证明其依法免税。</w:t>
      </w:r>
    </w:p>
    <w:p>
      <w:pPr>
        <w:numPr>
          <w:ilvl w:val="0"/>
          <w:numId w:val="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竞选人</w:t>
      </w:r>
      <w:r>
        <w:rPr>
          <w:rFonts w:hint="eastAsia" w:ascii="宋体" w:hAnsi="宋体"/>
          <w:szCs w:val="21"/>
        </w:rPr>
        <w:t>应当具备承担采购项目的能力，根据我院所需产品的规格、数量等要求及时送货上门。</w:t>
      </w:r>
    </w:p>
    <w:p>
      <w:pPr>
        <w:numPr>
          <w:ilvl w:val="0"/>
          <w:numId w:val="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竞选人必须具有良好的商业经营信誉。须提供参加竞选活动前3年内在经营活动中没有重大违法记录的书面声明。</w:t>
      </w:r>
    </w:p>
    <w:p>
      <w:pPr>
        <w:numPr>
          <w:ilvl w:val="0"/>
          <w:numId w:val="4"/>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本项目不接受联合体参与竞选。</w:t>
      </w:r>
    </w:p>
    <w:p>
      <w:pPr>
        <w:numPr>
          <w:ilvl w:val="0"/>
          <w:numId w:val="5"/>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递交响应文件要求：</w:t>
      </w:r>
    </w:p>
    <w:p>
      <w:pPr>
        <w:numPr>
          <w:ilvl w:val="0"/>
          <w:numId w:val="6"/>
        </w:num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szCs w:val="21"/>
        </w:rPr>
        <w:t>递</w:t>
      </w:r>
      <w:r>
        <w:rPr>
          <w:rFonts w:hint="eastAsia" w:asciiTheme="minorEastAsia" w:hAnsiTheme="minorEastAsia" w:eastAsiaTheme="minorEastAsia" w:cstheme="minorEastAsia"/>
          <w:color w:val="auto"/>
          <w:szCs w:val="21"/>
        </w:rPr>
        <w:t>交响应文件截止时间：2020年1月10日 17:00 （北京时间）；送达地点：广州市番禺区石楼镇潮田工业区珠江路1-2号综合楼307室。</w:t>
      </w:r>
    </w:p>
    <w:p>
      <w:pPr>
        <w:numPr>
          <w:ilvl w:val="0"/>
          <w:numId w:val="6"/>
        </w:num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评审时间：20</w:t>
      </w:r>
      <w:r>
        <w:rPr>
          <w:rFonts w:hint="eastAsia" w:asciiTheme="minorEastAsia" w:hAnsiTheme="minorEastAsia" w:eastAsiaTheme="minorEastAsia" w:cstheme="minorEastAsia"/>
          <w:color w:val="auto"/>
          <w:szCs w:val="21"/>
          <w:lang w:val="en-US" w:eastAsia="zh-CN"/>
        </w:rPr>
        <w:t>20</w:t>
      </w:r>
      <w:r>
        <w:rPr>
          <w:rFonts w:hint="eastAsia" w:asciiTheme="minorEastAsia" w:hAnsiTheme="minorEastAsia" w:eastAsiaTheme="minorEastAsia" w:cstheme="minorEastAsia"/>
          <w:color w:val="auto"/>
          <w:szCs w:val="21"/>
        </w:rPr>
        <w:t>年1月13日9时00分。</w:t>
      </w:r>
    </w:p>
    <w:p>
      <w:pPr>
        <w:numPr>
          <w:ilvl w:val="0"/>
          <w:numId w:val="6"/>
        </w:num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评审地点：广州市番禺区石楼镇潮田工业区珠江路1-2综合楼615室</w:t>
      </w:r>
    </w:p>
    <w:p>
      <w:pPr>
        <w:numPr>
          <w:ilvl w:val="0"/>
          <w:numId w:val="6"/>
        </w:numPr>
        <w:spacing w:line="360"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本公告期限：自发布之日起至2020年1月10日17时00分止。</w:t>
      </w:r>
    </w:p>
    <w:p>
      <w:pPr>
        <w:numPr>
          <w:ilvl w:val="0"/>
          <w:numId w:val="6"/>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响应文件份数：正本一份，副本二份，电子文件一份。不论中选与否，本次竞选不退回响应文件。</w:t>
      </w:r>
    </w:p>
    <w:p>
      <w:pPr>
        <w:numPr>
          <w:ilvl w:val="0"/>
          <w:numId w:val="5"/>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采购人不收取竞选文件费用，也不承担竞选人准备竞选文件和递交竞选文件以及参加本次竞选活动所发生的任何成本或费用。本项目对竞选人的资格性和符合性审查将在竞选评审环节中进行。本次竞选解释权归广检集团科学研究院所有。</w:t>
      </w:r>
    </w:p>
    <w:p>
      <w:pPr>
        <w:numPr>
          <w:ilvl w:val="0"/>
          <w:numId w:val="5"/>
        </w:numPr>
        <w:spacing w:line="360" w:lineRule="auto"/>
        <w:rPr>
          <w:rFonts w:asciiTheme="minorEastAsia" w:hAnsiTheme="minorEastAsia" w:eastAsiaTheme="minorEastAsia" w:cstheme="minorEastAsia"/>
          <w:b/>
          <w:bCs/>
        </w:rPr>
      </w:pPr>
      <w:r>
        <w:rPr>
          <w:rFonts w:hint="eastAsia" w:asciiTheme="minorEastAsia" w:hAnsiTheme="minorEastAsia" w:eastAsiaTheme="minorEastAsia" w:cstheme="minorEastAsia"/>
          <w:b/>
          <w:bCs/>
        </w:rPr>
        <w:t>采购人的名称、地址和联系方式</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采购人名称：广州检验检测认证集团有限公司</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联系电话：020-31061306      </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联系人：姚工</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邮箱：</w:t>
      </w:r>
      <w:r>
        <w:rPr>
          <w:rFonts w:hint="eastAsia" w:asciiTheme="minorEastAsia" w:hAnsiTheme="minorEastAsia" w:eastAsiaTheme="minorEastAsia" w:cstheme="minorEastAsia"/>
          <w:szCs w:val="21"/>
          <w:u w:val="single"/>
        </w:rPr>
        <w:t>yaodanling@cngttc.cn</w:t>
      </w:r>
    </w:p>
    <w:p>
      <w:pPr>
        <w:spacing w:line="360" w:lineRule="auto"/>
        <w:ind w:firstLine="420"/>
        <w:rPr>
          <w:rFonts w:asciiTheme="minorEastAsia" w:hAnsiTheme="minorEastAsia" w:eastAsiaTheme="minorEastAsia" w:cstheme="minorEastAsia"/>
          <w:szCs w:val="18"/>
        </w:rPr>
      </w:pPr>
      <w:r>
        <w:rPr>
          <w:rFonts w:hint="eastAsia" w:asciiTheme="minorEastAsia" w:hAnsiTheme="minorEastAsia" w:eastAsiaTheme="minorEastAsia" w:cstheme="minorEastAsia"/>
          <w:szCs w:val="21"/>
        </w:rPr>
        <w:t>地址： 广州市番禺区石楼镇潮田工业区珠江路1-2号综合楼307室</w:t>
      </w:r>
      <w:r>
        <w:rPr>
          <w:rFonts w:hint="eastAsia" w:asciiTheme="minorEastAsia" w:hAnsiTheme="minorEastAsia" w:eastAsiaTheme="minorEastAsia" w:cstheme="minorEastAsia"/>
          <w:szCs w:val="18"/>
        </w:rPr>
        <w:t>　</w:t>
      </w:r>
    </w:p>
    <w:p>
      <w:pPr>
        <w:spacing w:line="360" w:lineRule="auto"/>
        <w:ind w:firstLine="420"/>
        <w:rPr>
          <w:rFonts w:asciiTheme="minorEastAsia" w:hAnsiTheme="minorEastAsia" w:eastAsiaTheme="minorEastAsia" w:cstheme="minorEastAsia"/>
          <w:szCs w:val="18"/>
        </w:rPr>
      </w:pPr>
    </w:p>
    <w:p>
      <w:pPr>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18"/>
        </w:rPr>
        <w:t>　</w:t>
      </w:r>
      <w:r>
        <w:rPr>
          <w:rFonts w:hint="eastAsia" w:asciiTheme="minorEastAsia" w:hAnsiTheme="minorEastAsia" w:eastAsiaTheme="minorEastAsia" w:cstheme="minorEastAsia"/>
          <w:szCs w:val="21"/>
          <w:lang w:val="zh-CN"/>
        </w:rPr>
        <w:t>　　　　　　　　</w:t>
      </w:r>
      <w:r>
        <w:rPr>
          <w:rFonts w:hint="eastAsia" w:asciiTheme="minorEastAsia" w:hAnsiTheme="minorEastAsia" w:eastAsiaTheme="minorEastAsia" w:cstheme="minorEastAsia"/>
          <w:szCs w:val="21"/>
        </w:rPr>
        <w:t xml:space="preserve">  </w:t>
      </w:r>
    </w:p>
    <w:p>
      <w:pPr>
        <w:snapToGrid w:val="0"/>
        <w:spacing w:line="360" w:lineRule="auto"/>
        <w:ind w:firstLine="435"/>
        <w:jc w:val="right"/>
        <w:rPr>
          <w:rFonts w:asciiTheme="minorEastAsia" w:hAnsiTheme="minorEastAsia" w:eastAsiaTheme="minorEastAsia" w:cstheme="minorEastAsia"/>
          <w:b/>
        </w:rPr>
      </w:pPr>
      <w:r>
        <w:rPr>
          <w:rFonts w:hint="eastAsia" w:asciiTheme="minorEastAsia" w:hAnsiTheme="minorEastAsia" w:eastAsiaTheme="minorEastAsia" w:cstheme="minorEastAsia"/>
          <w:b/>
        </w:rPr>
        <w:t>广检集团科学研究院</w:t>
      </w:r>
    </w:p>
    <w:p>
      <w:pPr>
        <w:wordWrap w:val="0"/>
        <w:snapToGrid w:val="0"/>
        <w:spacing w:line="360" w:lineRule="auto"/>
        <w:ind w:firstLine="435"/>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                                                               2020 年1月 </w:t>
      </w: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pStyle w:val="3"/>
        <w:rPr>
          <w:rFonts w:asciiTheme="minorEastAsia" w:hAnsiTheme="minorEastAsia" w:eastAsiaTheme="minorEastAsia" w:cstheme="minorEastAsia"/>
          <w:b/>
          <w:bCs/>
          <w:sz w:val="28"/>
          <w:szCs w:val="28"/>
        </w:rPr>
      </w:pPr>
    </w:p>
    <w:p>
      <w:pPr>
        <w:numPr>
          <w:ilvl w:val="0"/>
          <w:numId w:val="2"/>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bookmarkStart w:id="2" w:name="_Toc23714"/>
      <w:bookmarkStart w:id="3" w:name="_Toc16393"/>
      <w:bookmarkStart w:id="4" w:name="_Toc28079"/>
      <w:bookmarkStart w:id="5" w:name="_Toc24012_WPSOffice_Level1"/>
      <w:bookmarkStart w:id="6" w:name="_Toc4972"/>
      <w:r>
        <w:rPr>
          <w:rFonts w:hint="eastAsia" w:asciiTheme="minorEastAsia" w:hAnsiTheme="minorEastAsia" w:eastAsiaTheme="minorEastAsia" w:cstheme="minorEastAsia"/>
          <w:b/>
          <w:bCs/>
          <w:sz w:val="28"/>
          <w:szCs w:val="28"/>
        </w:rPr>
        <w:t>竞选人须知</w:t>
      </w:r>
      <w:bookmarkEnd w:id="2"/>
      <w:bookmarkEnd w:id="3"/>
      <w:bookmarkEnd w:id="4"/>
      <w:bookmarkEnd w:id="5"/>
      <w:bookmarkEnd w:id="6"/>
    </w:p>
    <w:p>
      <w:pPr>
        <w:pStyle w:val="7"/>
        <w:numPr>
          <w:ilvl w:val="0"/>
          <w:numId w:val="7"/>
        </w:numPr>
        <w:snapToGrid w:val="0"/>
        <w:spacing w:before="120" w:line="360" w:lineRule="auto"/>
        <w:ind w:firstLine="422"/>
        <w:outlineLvl w:val="1"/>
        <w:rPr>
          <w:rFonts w:asciiTheme="minorEastAsia" w:hAnsiTheme="minorEastAsia" w:eastAsiaTheme="minorEastAsia" w:cstheme="minorEastAsia"/>
          <w:b/>
          <w:sz w:val="21"/>
          <w:szCs w:val="21"/>
        </w:rPr>
      </w:pPr>
      <w:bookmarkStart w:id="7" w:name="_Toc49082409"/>
      <w:bookmarkStart w:id="8" w:name="_Toc533236374"/>
      <w:bookmarkStart w:id="9" w:name="_Toc223939092"/>
      <w:bookmarkStart w:id="10" w:name="_Toc2341901"/>
      <w:bookmarkStart w:id="11" w:name="_Toc238282329"/>
      <w:bookmarkStart w:id="12" w:name="_Toc334797730"/>
      <w:bookmarkStart w:id="13" w:name="_Toc2341268"/>
      <w:bookmarkStart w:id="14" w:name="_Toc228899495"/>
      <w:bookmarkStart w:id="15" w:name="_Toc9495"/>
      <w:bookmarkStart w:id="16" w:name="_Toc49135195"/>
      <w:bookmarkStart w:id="17" w:name="_Toc228644966"/>
      <w:bookmarkStart w:id="18" w:name="_Toc225565941"/>
      <w:bookmarkStart w:id="19" w:name="_Toc185747578"/>
      <w:bookmarkStart w:id="20" w:name="_Toc2341652"/>
      <w:bookmarkStart w:id="21" w:name="_Toc20071"/>
      <w:bookmarkStart w:id="22" w:name="_Toc30510"/>
      <w:bookmarkStart w:id="23" w:name="_Toc2341693"/>
      <w:bookmarkStart w:id="24" w:name="_Toc25497"/>
      <w:bookmarkStart w:id="25" w:name="_Toc224435714"/>
      <w:r>
        <w:rPr>
          <w:rFonts w:hint="eastAsia" w:asciiTheme="minorEastAsia" w:hAnsiTheme="minorEastAsia" w:eastAsiaTheme="minorEastAsia" w:cstheme="minorEastAsia"/>
          <w:b/>
          <w:sz w:val="21"/>
          <w:szCs w:val="21"/>
        </w:rPr>
        <w:t>总体说明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26" w:name="_Toc2341694"/>
      <w:bookmarkStart w:id="27" w:name="_Toc21828"/>
      <w:bookmarkStart w:id="28" w:name="_Toc31345"/>
      <w:bookmarkStart w:id="29" w:name="_Toc14301"/>
      <w:bookmarkStart w:id="30" w:name="_Toc2341269"/>
      <w:r>
        <w:rPr>
          <w:rFonts w:hint="eastAsia" w:asciiTheme="minorEastAsia" w:hAnsiTheme="minorEastAsia" w:eastAsiaTheme="minorEastAsia" w:cstheme="minorEastAsia"/>
          <w:b/>
          <w:sz w:val="21"/>
          <w:szCs w:val="21"/>
        </w:rPr>
        <w:t>采购项目性质说明</w:t>
      </w:r>
      <w:bookmarkEnd w:id="26"/>
      <w:bookmarkEnd w:id="27"/>
      <w:bookmarkEnd w:id="28"/>
      <w:bookmarkEnd w:id="29"/>
      <w:bookmarkEnd w:id="30"/>
    </w:p>
    <w:p>
      <w:pPr>
        <w:spacing w:line="360" w:lineRule="auto"/>
        <w:ind w:left="420" w:leftChars="200"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本次采购项目属广州检验检测认证集团有限公司公开竞选采购。</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31" w:name="_Toc2341695"/>
      <w:bookmarkStart w:id="32" w:name="_Toc5153"/>
      <w:bookmarkStart w:id="33" w:name="_Toc3703"/>
      <w:bookmarkStart w:id="34" w:name="_Toc2341270"/>
      <w:bookmarkStart w:id="35" w:name="_Toc3171"/>
      <w:r>
        <w:rPr>
          <w:rFonts w:hint="eastAsia" w:asciiTheme="minorEastAsia" w:hAnsiTheme="minorEastAsia" w:eastAsiaTheme="minorEastAsia" w:cstheme="minorEastAsia"/>
          <w:b/>
          <w:sz w:val="21"/>
          <w:szCs w:val="21"/>
        </w:rPr>
        <w:t>关于响应报价</w:t>
      </w:r>
      <w:bookmarkEnd w:id="31"/>
      <w:bookmarkEnd w:id="32"/>
      <w:bookmarkEnd w:id="33"/>
      <w:bookmarkEnd w:id="34"/>
      <w:bookmarkEnd w:id="35"/>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竞选人应根据采购文件中采购人需求的要求，对照响应报价表对全部内容进行响应报价，如有缺漏或超出最高限价，将导致响应无效。</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除非采购文件另有规定，响应价不是唯一的或不是固定不变的响应文件将被作为无效响应而予以拒绝。竞选人所报的响应价在响应有效期及合同执行期间是固定不变的，竞选人不得以任何理由予以变更。</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不允许有备选方案，否则将被视为无效响应。</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不允许附加条件报价，否则将被视为无效响应。</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36" w:name="_Toc2341696"/>
      <w:bookmarkStart w:id="37" w:name="_Toc430"/>
      <w:bookmarkStart w:id="38" w:name="_Toc2341271"/>
      <w:bookmarkStart w:id="39" w:name="_Toc24857"/>
      <w:bookmarkStart w:id="40" w:name="_Toc30057"/>
      <w:r>
        <w:rPr>
          <w:rFonts w:hint="eastAsia" w:asciiTheme="minorEastAsia" w:hAnsiTheme="minorEastAsia" w:eastAsiaTheme="minorEastAsia" w:cstheme="minorEastAsia"/>
          <w:b/>
          <w:sz w:val="21"/>
          <w:szCs w:val="21"/>
        </w:rPr>
        <w:t>适用范围</w:t>
      </w:r>
      <w:bookmarkEnd w:id="36"/>
      <w:bookmarkEnd w:id="37"/>
      <w:bookmarkEnd w:id="38"/>
      <w:bookmarkEnd w:id="39"/>
      <w:bookmarkEnd w:id="40"/>
    </w:p>
    <w:p>
      <w:pPr>
        <w:spacing w:line="360" w:lineRule="auto"/>
        <w:ind w:left="840" w:leftChars="200"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本采购文件仅适用于本采购文件响应邀请中所叙述的响应内容。</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41" w:name="_Toc24247"/>
      <w:bookmarkStart w:id="42" w:name="_Toc9319"/>
      <w:bookmarkStart w:id="43" w:name="_Toc2341272"/>
      <w:bookmarkStart w:id="44" w:name="_Toc21814"/>
      <w:bookmarkStart w:id="45" w:name="_Toc2341697"/>
      <w:r>
        <w:rPr>
          <w:rFonts w:hint="eastAsia" w:asciiTheme="minorEastAsia" w:hAnsiTheme="minorEastAsia" w:eastAsiaTheme="minorEastAsia" w:cstheme="minorEastAsia"/>
          <w:b/>
          <w:sz w:val="21"/>
          <w:szCs w:val="21"/>
        </w:rPr>
        <w:t>评审方式</w:t>
      </w:r>
      <w:bookmarkEnd w:id="41"/>
      <w:bookmarkEnd w:id="42"/>
      <w:bookmarkEnd w:id="43"/>
      <w:bookmarkEnd w:id="44"/>
      <w:bookmarkEnd w:id="45"/>
    </w:p>
    <w:p>
      <w:pPr>
        <w:spacing w:line="360" w:lineRule="auto"/>
        <w:ind w:left="420" w:leftChars="200"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本项目评审采用综合评分法。</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46" w:name="_Toc2341698"/>
      <w:bookmarkStart w:id="47" w:name="_Toc2341273"/>
      <w:bookmarkStart w:id="48" w:name="_Toc29886"/>
      <w:bookmarkStart w:id="49" w:name="_Toc16079"/>
      <w:bookmarkStart w:id="50" w:name="_Toc25314"/>
      <w:r>
        <w:rPr>
          <w:rFonts w:hint="eastAsia" w:asciiTheme="minorEastAsia" w:hAnsiTheme="minorEastAsia" w:eastAsiaTheme="minorEastAsia" w:cstheme="minorEastAsia"/>
          <w:b/>
          <w:sz w:val="21"/>
          <w:szCs w:val="21"/>
        </w:rPr>
        <w:t>合格的</w:t>
      </w:r>
      <w:bookmarkEnd w:id="46"/>
      <w:bookmarkEnd w:id="47"/>
      <w:r>
        <w:rPr>
          <w:rFonts w:hint="eastAsia" w:asciiTheme="minorEastAsia" w:hAnsiTheme="minorEastAsia" w:eastAsiaTheme="minorEastAsia" w:cstheme="minorEastAsia"/>
          <w:b/>
          <w:sz w:val="21"/>
          <w:szCs w:val="21"/>
        </w:rPr>
        <w:t>竞选人</w:t>
      </w:r>
      <w:bookmarkEnd w:id="48"/>
      <w:bookmarkEnd w:id="49"/>
      <w:bookmarkEnd w:id="50"/>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具有符合竞选邀请函中合格竞选人资格要求；</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已在本项目报名的竞选人。</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51" w:name="_Toc2341699"/>
      <w:bookmarkStart w:id="52" w:name="_Toc2341274"/>
      <w:bookmarkStart w:id="53" w:name="_Toc21041"/>
      <w:bookmarkStart w:id="54" w:name="_Toc4272"/>
      <w:bookmarkStart w:id="55" w:name="_Toc26672"/>
      <w:r>
        <w:rPr>
          <w:rFonts w:hint="eastAsia" w:asciiTheme="minorEastAsia" w:hAnsiTheme="minorEastAsia" w:eastAsiaTheme="minorEastAsia" w:cstheme="minorEastAsia"/>
          <w:b/>
          <w:sz w:val="21"/>
          <w:szCs w:val="21"/>
        </w:rPr>
        <w:t>关于响应费用</w:t>
      </w:r>
      <w:bookmarkEnd w:id="51"/>
      <w:bookmarkEnd w:id="52"/>
      <w:bookmarkEnd w:id="53"/>
      <w:bookmarkEnd w:id="54"/>
      <w:bookmarkEnd w:id="55"/>
    </w:p>
    <w:p>
      <w:pPr>
        <w:snapToGrid w:val="0"/>
        <w:spacing w:line="360" w:lineRule="auto"/>
        <w:ind w:left="840" w:leftChars="200" w:firstLine="420" w:firstLineChars="200"/>
        <w:rPr>
          <w:rFonts w:hint="eastAsia" w:ascii="宋体" w:hAnsi="宋体"/>
          <w:szCs w:val="21"/>
        </w:rPr>
      </w:pPr>
      <w:r>
        <w:rPr>
          <w:rFonts w:hint="eastAsia" w:ascii="宋体" w:hAnsi="宋体"/>
          <w:szCs w:val="21"/>
        </w:rPr>
        <w:t>竞选人应承担所有与其参加响应有关的全部费用。</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56" w:name="_Toc17076"/>
      <w:bookmarkStart w:id="57" w:name="_Toc14327"/>
      <w:bookmarkStart w:id="58" w:name="_Toc2341275"/>
      <w:bookmarkStart w:id="59" w:name="_Toc2341700"/>
      <w:bookmarkStart w:id="60" w:name="_Toc9717"/>
      <w:r>
        <w:rPr>
          <w:rFonts w:hint="eastAsia" w:asciiTheme="minorEastAsia" w:hAnsiTheme="minorEastAsia" w:eastAsiaTheme="minorEastAsia" w:cstheme="minorEastAsia"/>
          <w:b/>
          <w:sz w:val="21"/>
          <w:szCs w:val="21"/>
        </w:rPr>
        <w:t>合格的货物和服务</w:t>
      </w:r>
      <w:bookmarkEnd w:id="56"/>
      <w:bookmarkEnd w:id="57"/>
      <w:bookmarkEnd w:id="58"/>
      <w:bookmarkEnd w:id="59"/>
      <w:bookmarkEnd w:id="60"/>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货物是指竞选人制造或组织符合采购文件要求的货物等。响应的货物必须是合法生产、合法来源的符合国家有关标准要求的货物，并满足邀请文件规定的规格、参数、质量、价格、有效期、售后服务等要求。</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服务是指竞选人须承担的软件开发、安装、技术支持、培训以及邀请文件规定的其它伴随服务。</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采购人将拒绝接受不合格的货物和服务。</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61" w:name="_Toc31562"/>
      <w:bookmarkStart w:id="62" w:name="_Toc17820"/>
      <w:bookmarkStart w:id="63" w:name="_Toc958"/>
      <w:bookmarkStart w:id="64" w:name="_Toc2341276"/>
      <w:bookmarkStart w:id="65" w:name="_Toc2341701"/>
      <w:r>
        <w:rPr>
          <w:rFonts w:hint="eastAsia" w:asciiTheme="minorEastAsia" w:hAnsiTheme="minorEastAsia" w:eastAsiaTheme="minorEastAsia" w:cstheme="minorEastAsia"/>
          <w:b/>
          <w:sz w:val="21"/>
          <w:szCs w:val="21"/>
        </w:rPr>
        <w:t>禁止事项</w:t>
      </w:r>
      <w:bookmarkEnd w:id="61"/>
      <w:bookmarkEnd w:id="62"/>
      <w:bookmarkEnd w:id="63"/>
      <w:bookmarkEnd w:id="64"/>
      <w:bookmarkEnd w:id="65"/>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采购人和竞选人不得相互串通，损害国家利益，社会公共利益和其他当事人的合法权益；不得以任何手段排斥其他竞选人参与竞争。</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竞选人不得向采购人、项目采购评审小组成员行贿或者采取其他不正当手段谋取成交。</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除竞选人质疑和投诉外，从评审之时起至授予合同止，竞选人不得就与其响应有关的事项主动与项目采购评审小组成员、采购人接触。</w:t>
      </w:r>
    </w:p>
    <w:p>
      <w:pPr>
        <w:pStyle w:val="7"/>
        <w:numPr>
          <w:ilvl w:val="1"/>
          <w:numId w:val="8"/>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《中华人民共和国政府采购法》及相关法规规定的其它禁止事项。</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66" w:name="_Toc2341702"/>
      <w:bookmarkStart w:id="67" w:name="_Toc8321"/>
      <w:bookmarkStart w:id="68" w:name="_Toc1300"/>
      <w:bookmarkStart w:id="69" w:name="_Toc1981"/>
      <w:bookmarkStart w:id="70" w:name="_Toc2341277"/>
      <w:r>
        <w:rPr>
          <w:rFonts w:hint="eastAsia" w:asciiTheme="minorEastAsia" w:hAnsiTheme="minorEastAsia" w:eastAsiaTheme="minorEastAsia" w:cstheme="minorEastAsia"/>
          <w:b/>
          <w:sz w:val="21"/>
          <w:szCs w:val="21"/>
        </w:rPr>
        <w:t>保密事项</w:t>
      </w:r>
      <w:bookmarkEnd w:id="66"/>
      <w:bookmarkEnd w:id="67"/>
      <w:bookmarkEnd w:id="68"/>
      <w:bookmarkEnd w:id="69"/>
      <w:bookmarkEnd w:id="70"/>
    </w:p>
    <w:p>
      <w:pPr>
        <w:snapToGrid w:val="0"/>
        <w:spacing w:line="360" w:lineRule="auto"/>
        <w:ind w:left="840" w:leftChars="200" w:firstLine="420" w:firstLineChars="200"/>
        <w:rPr>
          <w:rFonts w:hint="eastAsia" w:ascii="宋体" w:hAnsi="宋体"/>
          <w:szCs w:val="21"/>
        </w:rPr>
      </w:pPr>
      <w:r>
        <w:rPr>
          <w:rFonts w:hint="eastAsia" w:ascii="宋体" w:hAnsi="宋体"/>
          <w:szCs w:val="21"/>
        </w:rPr>
        <w:t>由采购人向竞选人提供的采购文件、用户需求书等所有资料，竞选人获得后，应对其保密。非经采购人同意，竞选人不得向第三方透露或将其用于本次响应以外的任何用途。评审后，应采购人要求，竞选人须归还采购人认为需保密的所有资料，并销毁所有相应的备份资料。</w:t>
      </w:r>
    </w:p>
    <w:p>
      <w:pPr>
        <w:pStyle w:val="7"/>
        <w:numPr>
          <w:ilvl w:val="0"/>
          <w:numId w:val="8"/>
        </w:numPr>
        <w:snapToGrid w:val="0"/>
        <w:spacing w:before="120" w:line="360" w:lineRule="auto"/>
        <w:ind w:firstLine="422"/>
        <w:rPr>
          <w:rFonts w:asciiTheme="minorEastAsia" w:hAnsiTheme="minorEastAsia" w:eastAsiaTheme="minorEastAsia" w:cstheme="minorEastAsia"/>
          <w:b/>
          <w:sz w:val="21"/>
          <w:szCs w:val="21"/>
        </w:rPr>
      </w:pPr>
      <w:bookmarkStart w:id="71" w:name="_Toc2341703"/>
      <w:bookmarkStart w:id="72" w:name="_Toc11969"/>
      <w:bookmarkStart w:id="73" w:name="_Toc18509"/>
      <w:bookmarkStart w:id="74" w:name="_Toc30116"/>
      <w:bookmarkStart w:id="75" w:name="_Toc2341278"/>
      <w:r>
        <w:rPr>
          <w:rFonts w:hint="eastAsia" w:asciiTheme="minorEastAsia" w:hAnsiTheme="minorEastAsia" w:eastAsiaTheme="minorEastAsia" w:cstheme="minorEastAsia"/>
          <w:b/>
          <w:sz w:val="21"/>
          <w:szCs w:val="21"/>
        </w:rPr>
        <w:t>知识产权</w:t>
      </w:r>
      <w:bookmarkEnd w:id="71"/>
      <w:bookmarkEnd w:id="72"/>
      <w:bookmarkEnd w:id="73"/>
      <w:bookmarkEnd w:id="74"/>
      <w:bookmarkEnd w:id="75"/>
    </w:p>
    <w:p>
      <w:pPr>
        <w:snapToGrid w:val="0"/>
        <w:spacing w:line="360" w:lineRule="auto"/>
        <w:ind w:left="840" w:leftChars="200" w:firstLine="420" w:firstLineChars="200"/>
        <w:rPr>
          <w:rFonts w:ascii="宋体" w:hAnsi="宋体"/>
          <w:szCs w:val="21"/>
          <w:highlight w:val="cyan"/>
        </w:rPr>
      </w:pPr>
      <w:r>
        <w:rPr>
          <w:rFonts w:hint="eastAsia" w:ascii="宋体" w:hAnsi="宋体"/>
          <w:szCs w:val="21"/>
        </w:rPr>
        <w:t>竞选人必须保证，采购人在中华人民共和国使用该货物或货物的任何一部分时，免受第三方提出的侵犯其专利权、商标权、著作权或其它知识产权的起诉</w:t>
      </w:r>
      <w:bookmarkStart w:id="76" w:name="_Toc2341279"/>
      <w:bookmarkStart w:id="77" w:name="_Toc334797733"/>
      <w:bookmarkStart w:id="78" w:name="_Toc533236377"/>
      <w:bookmarkStart w:id="79" w:name="_Toc2341704"/>
      <w:bookmarkStart w:id="80" w:name="_Toc2341653"/>
      <w:bookmarkStart w:id="81" w:name="_Toc2341902"/>
      <w:r>
        <w:rPr>
          <w:rFonts w:hint="eastAsia" w:ascii="宋体" w:hAnsi="宋体"/>
          <w:szCs w:val="21"/>
        </w:rPr>
        <w:t>。</w:t>
      </w:r>
    </w:p>
    <w:p>
      <w:pPr>
        <w:pStyle w:val="7"/>
        <w:numPr>
          <w:ilvl w:val="0"/>
          <w:numId w:val="7"/>
        </w:numPr>
        <w:snapToGrid w:val="0"/>
        <w:spacing w:before="120" w:line="360" w:lineRule="auto"/>
        <w:ind w:firstLine="422"/>
        <w:outlineLvl w:val="1"/>
        <w:rPr>
          <w:rFonts w:asciiTheme="minorEastAsia" w:hAnsiTheme="minorEastAsia" w:eastAsiaTheme="minorEastAsia" w:cstheme="minorEastAsia"/>
          <w:b/>
          <w:sz w:val="21"/>
          <w:szCs w:val="21"/>
        </w:rPr>
      </w:pPr>
      <w:bookmarkStart w:id="82" w:name="_Toc7205"/>
      <w:bookmarkStart w:id="83" w:name="_Toc29495"/>
      <w:bookmarkStart w:id="84" w:name="_Toc28068"/>
      <w:bookmarkStart w:id="85" w:name="_Toc30606"/>
      <w:r>
        <w:rPr>
          <w:rFonts w:hint="eastAsia" w:asciiTheme="minorEastAsia" w:hAnsiTheme="minorEastAsia" w:eastAsiaTheme="minorEastAsia" w:cstheme="minorEastAsia"/>
          <w:b/>
          <w:sz w:val="21"/>
          <w:szCs w:val="21"/>
        </w:rPr>
        <w:t>采购文件</w:t>
      </w:r>
      <w:bookmarkEnd w:id="76"/>
      <w:bookmarkEnd w:id="77"/>
      <w:bookmarkEnd w:id="78"/>
      <w:bookmarkEnd w:id="79"/>
      <w:bookmarkEnd w:id="80"/>
      <w:bookmarkEnd w:id="81"/>
      <w:bookmarkEnd w:id="82"/>
      <w:bookmarkEnd w:id="83"/>
      <w:bookmarkEnd w:id="84"/>
      <w:bookmarkEnd w:id="85"/>
    </w:p>
    <w:p>
      <w:pPr>
        <w:pStyle w:val="7"/>
        <w:numPr>
          <w:ilvl w:val="0"/>
          <w:numId w:val="9"/>
        </w:numPr>
        <w:snapToGrid w:val="0"/>
        <w:spacing w:before="120" w:line="360" w:lineRule="auto"/>
        <w:ind w:firstLine="422"/>
        <w:rPr>
          <w:rFonts w:asciiTheme="minorEastAsia" w:hAnsiTheme="minorEastAsia" w:eastAsiaTheme="minorEastAsia" w:cstheme="minorEastAsia"/>
          <w:b/>
          <w:sz w:val="21"/>
          <w:szCs w:val="21"/>
        </w:rPr>
      </w:pPr>
      <w:bookmarkStart w:id="86" w:name="_Toc15072"/>
      <w:bookmarkStart w:id="87" w:name="_Toc2341280"/>
      <w:bookmarkStart w:id="88" w:name="_Toc2341705"/>
      <w:bookmarkStart w:id="89" w:name="_Toc26710"/>
      <w:bookmarkStart w:id="90" w:name="_Toc22579"/>
      <w:r>
        <w:rPr>
          <w:rFonts w:hint="eastAsia" w:asciiTheme="minorEastAsia" w:hAnsiTheme="minorEastAsia" w:eastAsiaTheme="minorEastAsia" w:cstheme="minorEastAsia"/>
          <w:b/>
          <w:bCs/>
          <w:sz w:val="21"/>
          <w:szCs w:val="21"/>
        </w:rPr>
        <w:t>采购文件的组成</w:t>
      </w:r>
      <w:bookmarkEnd w:id="86"/>
      <w:bookmarkEnd w:id="87"/>
      <w:bookmarkEnd w:id="88"/>
      <w:bookmarkEnd w:id="89"/>
      <w:bookmarkEnd w:id="90"/>
    </w:p>
    <w:p>
      <w:pPr>
        <w:numPr>
          <w:ilvl w:val="1"/>
          <w:numId w:val="9"/>
        </w:numPr>
        <w:spacing w:line="360" w:lineRule="auto"/>
        <w:ind w:left="420" w:leftChars="0" w:firstLine="420" w:firstLineChars="0"/>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kern w:val="2"/>
          <w:sz w:val="21"/>
          <w:szCs w:val="21"/>
          <w:lang w:val="en-US" w:eastAsia="zh-CN" w:bidi="ar-SA"/>
        </w:rPr>
        <w:t>采购文件由竞选邀请函、竞选人须知、用户需求书、评审方式及程序、响应文件格式和合同通用条款六部分内容组成。</w:t>
      </w:r>
    </w:p>
    <w:p>
      <w:pPr>
        <w:pStyle w:val="7"/>
        <w:numPr>
          <w:ilvl w:val="0"/>
          <w:numId w:val="9"/>
        </w:numPr>
        <w:snapToGrid w:val="0"/>
        <w:spacing w:before="120" w:line="360" w:lineRule="auto"/>
        <w:ind w:firstLine="422"/>
        <w:rPr>
          <w:rFonts w:asciiTheme="minorEastAsia" w:hAnsiTheme="minorEastAsia" w:eastAsiaTheme="minorEastAsia" w:cstheme="minorEastAsia"/>
          <w:b/>
          <w:bCs/>
          <w:sz w:val="21"/>
          <w:szCs w:val="21"/>
        </w:rPr>
      </w:pPr>
      <w:bookmarkStart w:id="91" w:name="_Toc13390"/>
      <w:bookmarkStart w:id="92" w:name="_Toc2341281"/>
      <w:bookmarkStart w:id="93" w:name="_Toc2603"/>
      <w:bookmarkStart w:id="94" w:name="_Toc31601"/>
      <w:bookmarkStart w:id="95" w:name="_Toc2341706"/>
      <w:r>
        <w:rPr>
          <w:rFonts w:hint="eastAsia" w:asciiTheme="minorEastAsia" w:hAnsiTheme="minorEastAsia" w:eastAsiaTheme="minorEastAsia" w:cstheme="minorEastAsia"/>
          <w:b/>
          <w:bCs/>
          <w:sz w:val="21"/>
          <w:szCs w:val="21"/>
        </w:rPr>
        <w:t>采购文件的补充和修改</w:t>
      </w:r>
      <w:bookmarkEnd w:id="91"/>
      <w:bookmarkEnd w:id="92"/>
      <w:bookmarkEnd w:id="93"/>
      <w:bookmarkEnd w:id="94"/>
      <w:bookmarkEnd w:id="95"/>
    </w:p>
    <w:p>
      <w:pPr>
        <w:pStyle w:val="7"/>
        <w:numPr>
          <w:ilvl w:val="1"/>
          <w:numId w:val="9"/>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对采购文件进行必要的补充或修改，于评审前3天以书面形式通知所有符合条件的竞选人，竞选人在收到补充或修改通知后应立即以书面形式予以确认，在规定的时间内竞选人不予书面确认的，视为已收到通知，该补充或修改的内容为采购文件的组成部分。</w:t>
      </w:r>
    </w:p>
    <w:p>
      <w:pPr>
        <w:pStyle w:val="7"/>
        <w:numPr>
          <w:ilvl w:val="1"/>
          <w:numId w:val="9"/>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采购过程中的一切修改文件或补充文件一旦确认后与采购文件具有同等法律效力，竞选人有责任履行相应的义务。</w:t>
      </w:r>
    </w:p>
    <w:p>
      <w:pPr>
        <w:pStyle w:val="7"/>
        <w:numPr>
          <w:ilvl w:val="0"/>
          <w:numId w:val="7"/>
        </w:numPr>
        <w:snapToGrid w:val="0"/>
        <w:spacing w:before="120" w:line="360" w:lineRule="auto"/>
        <w:ind w:firstLine="422"/>
        <w:outlineLvl w:val="1"/>
        <w:rPr>
          <w:rFonts w:asciiTheme="minorEastAsia" w:hAnsiTheme="minorEastAsia" w:eastAsiaTheme="minorEastAsia" w:cstheme="minorEastAsia"/>
          <w:b/>
          <w:sz w:val="21"/>
          <w:szCs w:val="21"/>
        </w:rPr>
      </w:pPr>
      <w:bookmarkStart w:id="96" w:name="_Toc334797734"/>
      <w:bookmarkStart w:id="97" w:name="_Toc533236378"/>
      <w:bookmarkStart w:id="98" w:name="_Toc2341707"/>
      <w:bookmarkStart w:id="99" w:name="_Toc224435720"/>
      <w:bookmarkStart w:id="100" w:name="_Toc2341282"/>
      <w:bookmarkStart w:id="101" w:name="_Toc32254"/>
      <w:bookmarkStart w:id="102" w:name="_Toc2341654"/>
      <w:bookmarkStart w:id="103" w:name="_Toc185747580"/>
      <w:bookmarkStart w:id="104" w:name="_Toc238282334"/>
      <w:bookmarkStart w:id="105" w:name="_Toc228644972"/>
      <w:bookmarkStart w:id="106" w:name="_Toc225565947"/>
      <w:bookmarkStart w:id="107" w:name="_Toc2341903"/>
      <w:bookmarkStart w:id="108" w:name="_Toc223939095"/>
      <w:bookmarkStart w:id="109" w:name="_Toc11798"/>
      <w:bookmarkStart w:id="110" w:name="_Toc26521"/>
      <w:bookmarkStart w:id="111" w:name="_Toc228899501"/>
      <w:bookmarkStart w:id="112" w:name="_Toc14644"/>
      <w:r>
        <w:rPr>
          <w:rFonts w:hint="eastAsia" w:asciiTheme="minorEastAsia" w:hAnsiTheme="minorEastAsia" w:eastAsiaTheme="minorEastAsia" w:cstheme="minorEastAsia"/>
          <w:b/>
          <w:sz w:val="21"/>
          <w:szCs w:val="21"/>
        </w:rPr>
        <w:t>响应文件</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pStyle w:val="7"/>
        <w:numPr>
          <w:ilvl w:val="0"/>
          <w:numId w:val="10"/>
        </w:numPr>
        <w:snapToGrid w:val="0"/>
        <w:spacing w:before="120" w:line="360" w:lineRule="auto"/>
        <w:ind w:firstLine="422"/>
        <w:rPr>
          <w:rFonts w:asciiTheme="minorEastAsia" w:hAnsiTheme="minorEastAsia" w:eastAsiaTheme="minorEastAsia" w:cstheme="minorEastAsia"/>
          <w:b/>
          <w:bCs/>
          <w:sz w:val="21"/>
          <w:szCs w:val="21"/>
        </w:rPr>
      </w:pPr>
      <w:bookmarkStart w:id="113" w:name="_Toc2341283"/>
      <w:bookmarkStart w:id="114" w:name="_Toc23373"/>
      <w:bookmarkStart w:id="115" w:name="_Toc2341708"/>
      <w:bookmarkStart w:id="116" w:name="_Toc29089"/>
      <w:bookmarkStart w:id="117" w:name="_Toc31891"/>
      <w:r>
        <w:rPr>
          <w:rFonts w:hint="eastAsia" w:asciiTheme="minorEastAsia" w:hAnsiTheme="minorEastAsia" w:eastAsiaTheme="minorEastAsia" w:cstheme="minorEastAsia"/>
          <w:b/>
          <w:bCs/>
          <w:sz w:val="21"/>
          <w:szCs w:val="21"/>
        </w:rPr>
        <w:t>响应文件的编写</w:t>
      </w:r>
      <w:bookmarkEnd w:id="113"/>
      <w:bookmarkEnd w:id="114"/>
      <w:bookmarkEnd w:id="115"/>
      <w:bookmarkEnd w:id="116"/>
      <w:bookmarkEnd w:id="117"/>
    </w:p>
    <w:p>
      <w:pPr>
        <w:pStyle w:val="7"/>
        <w:numPr>
          <w:ilvl w:val="1"/>
          <w:numId w:val="10"/>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竞选人应仔细阅读响应文件的所有内容，按响应文件的要求制作并递交响应文件，并保证所提供的全部资料的真实性、准确性，以确保其响应对采购文件做出实质性响应。竞选人在响应中提供不真实的材料，无论其材料是否重要，都将直接导致响应文件无效，并承担由此产生的法律责任。</w:t>
      </w:r>
    </w:p>
    <w:p>
      <w:pPr>
        <w:pStyle w:val="7"/>
        <w:numPr>
          <w:ilvl w:val="1"/>
          <w:numId w:val="10"/>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响应文件中的语言：响应文件和来往函件应用简体中文书写，竞选人提供的支持文件、技术资料和印刷的文献可以用其他语言，但相应内容应附有中文翻译文本（经公证处公证），对不同文字文本响应文件的解释发生异议的，以中文文本为准。</w:t>
      </w:r>
    </w:p>
    <w:p>
      <w:pPr>
        <w:pStyle w:val="7"/>
        <w:numPr>
          <w:ilvl w:val="1"/>
          <w:numId w:val="10"/>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竞选人须用人民币作为报价的货币单位。响应文件中报价表内容与响应文件中明细表内容不一致的，以报价表为准。响应文件的大写金额和小写金额不一致的，以大写金额为准；总价金额与按单价汇总金额不一致的，以单价金额计算结果为准；单价金额小数点有明显错位的，应以总价为准，并修改单价。</w:t>
      </w:r>
    </w:p>
    <w:p>
      <w:pPr>
        <w:pStyle w:val="7"/>
        <w:numPr>
          <w:ilvl w:val="1"/>
          <w:numId w:val="10"/>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竞选人的报价明显低于其他响应报价，使得其响应报价可能低于其个别成本的，</w:t>
      </w:r>
      <w:r>
        <w:rPr>
          <w:rFonts w:hint="eastAsia" w:asciiTheme="minorEastAsia" w:hAnsiTheme="minorEastAsia" w:eastAsiaTheme="minorEastAsia" w:cstheme="minorEastAsia"/>
          <w:bCs/>
          <w:kern w:val="0"/>
          <w:sz w:val="21"/>
          <w:szCs w:val="21"/>
        </w:rPr>
        <w:t>有可能影响服务质量和不能诚信履约的，项目采购评审小组</w:t>
      </w:r>
      <w:r>
        <w:rPr>
          <w:rFonts w:hint="eastAsia" w:asciiTheme="minorEastAsia" w:hAnsiTheme="minorEastAsia" w:eastAsiaTheme="minorEastAsia" w:cstheme="minorEastAsia"/>
          <w:bCs/>
          <w:sz w:val="21"/>
          <w:szCs w:val="21"/>
        </w:rPr>
        <w:t>应当要求该竞选人作出书面说明并提供相关证明材料。竞选人不能合理说明或者不能提供相关证明材料的，由项目采购评审小组认定该竞选人以低于成本报价，应作无效响应处理。</w:t>
      </w:r>
    </w:p>
    <w:p>
      <w:pPr>
        <w:pStyle w:val="7"/>
        <w:numPr>
          <w:ilvl w:val="1"/>
          <w:numId w:val="10"/>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本项目要求响应报价应包括竞选人提供本项目要求服务时所需人员、</w:t>
      </w:r>
      <w:r>
        <w:rPr>
          <w:rFonts w:hint="eastAsia" w:asciiTheme="minorEastAsia" w:hAnsiTheme="minorEastAsia" w:eastAsiaTheme="minorEastAsia" w:cstheme="minorEastAsia"/>
          <w:bCs/>
          <w:sz w:val="21"/>
          <w:szCs w:val="21"/>
          <w:lang w:val="en-GB"/>
        </w:rPr>
        <w:t>产品、</w:t>
      </w:r>
      <w:r>
        <w:rPr>
          <w:rFonts w:hint="eastAsia" w:asciiTheme="minorEastAsia" w:hAnsiTheme="minorEastAsia" w:eastAsiaTheme="minorEastAsia" w:cstheme="minorEastAsia"/>
          <w:bCs/>
          <w:sz w:val="21"/>
          <w:szCs w:val="21"/>
        </w:rPr>
        <w:t>采购、安装、调试、税费、相关部门验收、培训等所有费用，以及竞选人认为必要的其他人员、</w:t>
      </w:r>
      <w:r>
        <w:rPr>
          <w:rFonts w:hint="eastAsia" w:asciiTheme="minorEastAsia" w:hAnsiTheme="minorEastAsia" w:eastAsiaTheme="minorEastAsia" w:cstheme="minorEastAsia"/>
          <w:bCs/>
          <w:sz w:val="21"/>
          <w:szCs w:val="21"/>
          <w:lang w:val="en-GB"/>
        </w:rPr>
        <w:t>产品、</w:t>
      </w:r>
      <w:r>
        <w:rPr>
          <w:rFonts w:hint="eastAsia" w:asciiTheme="minorEastAsia" w:hAnsiTheme="minorEastAsia" w:eastAsiaTheme="minorEastAsia" w:cstheme="minorEastAsia"/>
          <w:bCs/>
          <w:sz w:val="21"/>
          <w:szCs w:val="21"/>
        </w:rPr>
        <w:t>材料、安装、服务；竞选人应自行增加能满足所承诺达到的服务质量所必需但响应文件没有包含的所有人员、版权、专利等一切费用，如果竞选人在成交并签署合同后，在人员、供货、安装、调试、培训等工作中出现任何遗漏，均由成交供应商免费提供，采购人将不再支付任何费用。</w:t>
      </w:r>
    </w:p>
    <w:p>
      <w:pPr>
        <w:pStyle w:val="7"/>
        <w:numPr>
          <w:ilvl w:val="1"/>
          <w:numId w:val="10"/>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竞选人在详细报价中应列出采购人需求的所有项目，竞选人认为必要的但在响应文件中未列出的其它项目可在报价表后面做出补充，所补充的内容应在响应文件中加以详细说明。</w:t>
      </w:r>
    </w:p>
    <w:p>
      <w:pPr>
        <w:pStyle w:val="7"/>
        <w:numPr>
          <w:ilvl w:val="1"/>
          <w:numId w:val="10"/>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响应栏项目中如出现唯一的数字“0”，则视报价为零；如出现空白或出现负数，视为未响应。</w:t>
      </w:r>
    </w:p>
    <w:p>
      <w:pPr>
        <w:pStyle w:val="7"/>
        <w:numPr>
          <w:ilvl w:val="1"/>
          <w:numId w:val="10"/>
        </w:numPr>
        <w:snapToGrid w:val="0"/>
        <w:spacing w:before="120" w:line="360" w:lineRule="auto"/>
        <w:ind w:firstLine="42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竞选人在编写响应文件时，应填写采购文件要求的内容及其附件，并根据实际情况补充评审所需资料，响应文件</w:t>
      </w:r>
      <w:r>
        <w:rPr>
          <w:rFonts w:hint="eastAsia" w:asciiTheme="minorEastAsia" w:hAnsiTheme="minorEastAsia" w:eastAsiaTheme="minorEastAsia" w:cstheme="minorEastAsia"/>
          <w:bCs/>
          <w:sz w:val="21"/>
          <w:szCs w:val="21"/>
          <w:lang w:eastAsia="zh-TW"/>
        </w:rPr>
        <w:t>只填写和提供了</w:t>
      </w:r>
      <w:r>
        <w:rPr>
          <w:rFonts w:hint="eastAsia" w:asciiTheme="minorEastAsia" w:hAnsiTheme="minorEastAsia" w:eastAsiaTheme="minorEastAsia" w:cstheme="minorEastAsia"/>
          <w:bCs/>
          <w:sz w:val="21"/>
          <w:szCs w:val="21"/>
        </w:rPr>
        <w:t>采购</w:t>
      </w:r>
      <w:r>
        <w:rPr>
          <w:rFonts w:hint="eastAsia" w:asciiTheme="minorEastAsia" w:hAnsiTheme="minorEastAsia" w:eastAsiaTheme="minorEastAsia" w:cstheme="minorEastAsia"/>
          <w:bCs/>
          <w:sz w:val="21"/>
          <w:szCs w:val="21"/>
          <w:lang w:eastAsia="zh-TW"/>
        </w:rPr>
        <w:t>文件要求的部分内容和附件，或没有提供</w:t>
      </w:r>
      <w:r>
        <w:rPr>
          <w:rFonts w:hint="eastAsia" w:asciiTheme="minorEastAsia" w:hAnsiTheme="minorEastAsia" w:eastAsiaTheme="minorEastAsia" w:cstheme="minorEastAsia"/>
          <w:bCs/>
          <w:sz w:val="21"/>
          <w:szCs w:val="21"/>
        </w:rPr>
        <w:t>采购</w:t>
      </w:r>
      <w:r>
        <w:rPr>
          <w:rFonts w:hint="eastAsia" w:asciiTheme="minorEastAsia" w:hAnsiTheme="minorEastAsia" w:eastAsiaTheme="minorEastAsia" w:cstheme="minorEastAsia"/>
          <w:bCs/>
          <w:sz w:val="21"/>
          <w:szCs w:val="21"/>
          <w:lang w:eastAsia="zh-TW"/>
        </w:rPr>
        <w:t>文件中所要求的全部资料及数据，</w:t>
      </w:r>
      <w:r>
        <w:rPr>
          <w:rFonts w:hint="eastAsia" w:asciiTheme="minorEastAsia" w:hAnsiTheme="minorEastAsia" w:eastAsiaTheme="minorEastAsia" w:cstheme="minorEastAsia"/>
          <w:bCs/>
          <w:sz w:val="21"/>
          <w:szCs w:val="21"/>
        </w:rPr>
        <w:t>或没有按实际情况提供响应所需资料的，</w:t>
      </w:r>
      <w:r>
        <w:rPr>
          <w:rFonts w:hint="eastAsia" w:asciiTheme="minorEastAsia" w:hAnsiTheme="minorEastAsia" w:eastAsiaTheme="minorEastAsia" w:cstheme="minorEastAsia"/>
          <w:bCs/>
          <w:sz w:val="21"/>
          <w:szCs w:val="21"/>
          <w:lang w:eastAsia="zh-TW"/>
        </w:rPr>
        <w:t>其可能导致的结果和责任由</w:t>
      </w:r>
      <w:r>
        <w:rPr>
          <w:rFonts w:hint="eastAsia" w:asciiTheme="minorEastAsia" w:hAnsiTheme="minorEastAsia" w:eastAsiaTheme="minorEastAsia" w:cstheme="minorEastAsia"/>
          <w:bCs/>
          <w:sz w:val="21"/>
          <w:szCs w:val="21"/>
        </w:rPr>
        <w:t>竞选人</w:t>
      </w:r>
      <w:r>
        <w:rPr>
          <w:rFonts w:hint="eastAsia" w:asciiTheme="minorEastAsia" w:hAnsiTheme="minorEastAsia" w:eastAsiaTheme="minorEastAsia" w:cstheme="minorEastAsia"/>
          <w:bCs/>
          <w:sz w:val="21"/>
          <w:szCs w:val="21"/>
          <w:lang w:eastAsia="zh-TW"/>
        </w:rPr>
        <w:t>自行承担。</w:t>
      </w:r>
    </w:p>
    <w:p>
      <w:pPr>
        <w:pStyle w:val="7"/>
        <w:numPr>
          <w:ilvl w:val="0"/>
          <w:numId w:val="10"/>
        </w:numPr>
        <w:snapToGrid w:val="0"/>
        <w:spacing w:before="120" w:line="360" w:lineRule="auto"/>
        <w:ind w:firstLine="422"/>
        <w:rPr>
          <w:rFonts w:asciiTheme="minorEastAsia" w:hAnsiTheme="minorEastAsia" w:eastAsiaTheme="minorEastAsia" w:cstheme="minorEastAsia"/>
          <w:b/>
          <w:bCs/>
          <w:sz w:val="21"/>
          <w:szCs w:val="21"/>
        </w:rPr>
      </w:pPr>
      <w:bookmarkStart w:id="118" w:name="_Toc5065"/>
      <w:bookmarkStart w:id="119" w:name="_Toc2341709"/>
      <w:bookmarkStart w:id="120" w:name="_Toc5523"/>
      <w:bookmarkStart w:id="121" w:name="_Toc15247"/>
      <w:bookmarkStart w:id="122" w:name="_Toc2341284"/>
      <w:r>
        <w:rPr>
          <w:rFonts w:hint="eastAsia" w:asciiTheme="minorEastAsia" w:hAnsiTheme="minorEastAsia" w:eastAsiaTheme="minorEastAsia" w:cstheme="minorEastAsia"/>
          <w:b/>
          <w:bCs/>
          <w:sz w:val="21"/>
          <w:szCs w:val="21"/>
        </w:rPr>
        <w:t>响应文件的组成</w:t>
      </w:r>
      <w:bookmarkEnd w:id="118"/>
      <w:bookmarkEnd w:id="119"/>
      <w:bookmarkEnd w:id="120"/>
      <w:bookmarkEnd w:id="121"/>
      <w:bookmarkEnd w:id="122"/>
    </w:p>
    <w:p>
      <w:pPr>
        <w:pStyle w:val="7"/>
        <w:numPr>
          <w:ilvl w:val="1"/>
          <w:numId w:val="10"/>
        </w:numPr>
        <w:snapToGrid w:val="0"/>
        <w:spacing w:before="120" w:line="360" w:lineRule="auto"/>
        <w:ind w:firstLine="420"/>
        <w:rPr>
          <w:rFonts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竞选人编写的响应文件应编排为四部分：响应报价文件；资格性、符合性审查文件；商务文件；技术服务方案文件。</w:t>
      </w:r>
    </w:p>
    <w:p>
      <w:pPr>
        <w:pStyle w:val="7"/>
        <w:numPr>
          <w:ilvl w:val="1"/>
          <w:numId w:val="10"/>
        </w:numPr>
        <w:snapToGrid w:val="0"/>
        <w:spacing w:before="120"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响应文件应包含但不限于以下内容：①按规定填写的响应函、</w:t>
      </w:r>
      <w:r>
        <w:rPr>
          <w:rFonts w:hint="eastAsia" w:asciiTheme="minorEastAsia" w:hAnsiTheme="minorEastAsia" w:eastAsiaTheme="minorEastAsia" w:cstheme="minorEastAsia"/>
          <w:color w:val="auto"/>
          <w:sz w:val="21"/>
          <w:szCs w:val="21"/>
          <w:lang w:val="en-US" w:eastAsia="zh-CN"/>
        </w:rPr>
        <w:t>实质性条款</w:t>
      </w:r>
      <w:r>
        <w:rPr>
          <w:rFonts w:hint="eastAsia" w:asciiTheme="minorEastAsia" w:hAnsiTheme="minorEastAsia" w:eastAsiaTheme="minorEastAsia" w:cstheme="minorEastAsia"/>
          <w:color w:val="auto"/>
          <w:sz w:val="21"/>
          <w:szCs w:val="21"/>
        </w:rPr>
        <w:t>响应一览表、</w:t>
      </w:r>
      <w:r>
        <w:rPr>
          <w:rFonts w:hint="eastAsia" w:asciiTheme="minorEastAsia" w:hAnsiTheme="minorEastAsia" w:eastAsiaTheme="minorEastAsia" w:cstheme="minorEastAsia"/>
          <w:color w:val="auto"/>
          <w:sz w:val="21"/>
          <w:szCs w:val="21"/>
          <w:lang w:val="en-US" w:eastAsia="zh-CN"/>
        </w:rPr>
        <w:t>货物技术参数响应一览表</w:t>
      </w:r>
      <w:r>
        <w:rPr>
          <w:rFonts w:hint="eastAsia" w:asciiTheme="minorEastAsia" w:hAnsiTheme="minorEastAsia" w:eastAsiaTheme="minorEastAsia" w:cstheme="minorEastAsia"/>
          <w:color w:val="auto"/>
          <w:sz w:val="21"/>
          <w:szCs w:val="21"/>
        </w:rPr>
        <w:t>；②按要求出具的资格证明文件，证明竞选人是合格的，而且成交后有能力履行合同；③按规定出具的证明文件，证明竞选人提供的服务是合格的，而且符合采购文件的规定；④对采购文件第三章作出的书面响应，包括但不限于技术及商务要求等；⑤竞选人认为须提交与评分内容相关的其他资料。</w:t>
      </w:r>
    </w:p>
    <w:p>
      <w:pPr>
        <w:pStyle w:val="7"/>
        <w:numPr>
          <w:ilvl w:val="1"/>
          <w:numId w:val="10"/>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竞选人须按采购文件要求编制带有目录和页码并装订成册的响应文件。</w:t>
      </w:r>
    </w:p>
    <w:p>
      <w:pPr>
        <w:pStyle w:val="7"/>
        <w:numPr>
          <w:ilvl w:val="1"/>
          <w:numId w:val="10"/>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竞选人须自行承担因其响应文件的任何错漏而导致的一切后果。</w:t>
      </w:r>
    </w:p>
    <w:p>
      <w:pPr>
        <w:pStyle w:val="7"/>
        <w:numPr>
          <w:ilvl w:val="0"/>
          <w:numId w:val="10"/>
        </w:numPr>
        <w:snapToGrid w:val="0"/>
        <w:spacing w:before="120" w:line="360" w:lineRule="auto"/>
        <w:ind w:firstLine="422"/>
        <w:rPr>
          <w:rFonts w:hint="eastAsia" w:asciiTheme="minorEastAsia" w:hAnsiTheme="minorEastAsia" w:eastAsiaTheme="minorEastAsia" w:cstheme="minorEastAsia"/>
          <w:b/>
          <w:bCs/>
          <w:sz w:val="21"/>
          <w:szCs w:val="21"/>
        </w:rPr>
      </w:pPr>
      <w:bookmarkStart w:id="123" w:name="_Toc2341285"/>
      <w:bookmarkStart w:id="124" w:name="_Toc27426"/>
      <w:bookmarkStart w:id="125" w:name="_Toc2341710"/>
      <w:bookmarkStart w:id="126" w:name="_Toc14981"/>
      <w:bookmarkStart w:id="127" w:name="_Toc25511"/>
      <w:r>
        <w:rPr>
          <w:rFonts w:hint="eastAsia" w:asciiTheme="minorEastAsia" w:hAnsiTheme="minorEastAsia" w:eastAsiaTheme="minorEastAsia" w:cstheme="minorEastAsia"/>
          <w:b/>
          <w:bCs/>
          <w:sz w:val="21"/>
          <w:szCs w:val="21"/>
        </w:rPr>
        <w:t>响应文件的修改和撤回</w:t>
      </w:r>
      <w:bookmarkEnd w:id="123"/>
      <w:bookmarkEnd w:id="124"/>
      <w:bookmarkEnd w:id="125"/>
      <w:bookmarkEnd w:id="126"/>
      <w:bookmarkEnd w:id="127"/>
    </w:p>
    <w:p>
      <w:pPr>
        <w:pStyle w:val="7"/>
        <w:numPr>
          <w:ilvl w:val="1"/>
          <w:numId w:val="10"/>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响应文件须一次报出，不得更改。从响应截止时间起至评审有效期前，竞选人不得撤回其响应文件。</w:t>
      </w:r>
    </w:p>
    <w:p>
      <w:pPr>
        <w:pStyle w:val="7"/>
        <w:numPr>
          <w:ilvl w:val="1"/>
          <w:numId w:val="10"/>
        </w:numPr>
        <w:snapToGrid w:val="0"/>
        <w:spacing w:before="120" w:line="360" w:lineRule="auto"/>
        <w:ind w:firstLine="42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采购人对因不可抗力事件所造成响应文件的损坏、丢失不承担任何责任。</w:t>
      </w:r>
    </w:p>
    <w:p>
      <w:pPr>
        <w:pStyle w:val="7"/>
        <w:numPr>
          <w:ilvl w:val="0"/>
          <w:numId w:val="10"/>
        </w:numPr>
        <w:snapToGrid w:val="0"/>
        <w:spacing w:before="120" w:line="360" w:lineRule="auto"/>
        <w:ind w:firstLine="422"/>
        <w:rPr>
          <w:rFonts w:hint="eastAsia" w:asciiTheme="minorEastAsia" w:hAnsiTheme="minorEastAsia" w:eastAsiaTheme="minorEastAsia" w:cstheme="minorEastAsia"/>
          <w:b/>
          <w:bCs/>
          <w:sz w:val="21"/>
          <w:szCs w:val="21"/>
        </w:rPr>
      </w:pPr>
      <w:bookmarkStart w:id="128" w:name="_Toc24061"/>
      <w:bookmarkStart w:id="129" w:name="_Toc28689"/>
      <w:bookmarkStart w:id="130" w:name="_Toc11195"/>
      <w:r>
        <w:rPr>
          <w:rFonts w:hint="eastAsia" w:asciiTheme="minorEastAsia" w:hAnsiTheme="minorEastAsia" w:eastAsiaTheme="minorEastAsia" w:cstheme="minorEastAsia"/>
          <w:b/>
          <w:bCs/>
          <w:sz w:val="21"/>
          <w:szCs w:val="21"/>
        </w:rPr>
        <w:t>响应报价有效期</w:t>
      </w:r>
      <w:bookmarkEnd w:id="128"/>
      <w:bookmarkEnd w:id="129"/>
      <w:bookmarkEnd w:id="130"/>
    </w:p>
    <w:p>
      <w:pPr>
        <w:pStyle w:val="7"/>
        <w:numPr>
          <w:ilvl w:val="0"/>
          <w:numId w:val="0"/>
        </w:numPr>
        <w:snapToGrid w:val="0"/>
        <w:spacing w:before="120" w:line="360" w:lineRule="auto"/>
        <w:ind w:leftChars="200"/>
        <w:rPr>
          <w:rFonts w:hint="eastAsia" w:asciiTheme="minorEastAsia" w:hAnsiTheme="minorEastAsia" w:eastAsiaTheme="minorEastAsia" w:cstheme="minorEastAsia"/>
          <w:sz w:val="21"/>
          <w:szCs w:val="21"/>
        </w:rPr>
      </w:pPr>
      <w:bookmarkStart w:id="131" w:name="_Toc995"/>
      <w:bookmarkStart w:id="132" w:name="_Toc17202"/>
      <w:bookmarkStart w:id="133" w:name="_Toc17312"/>
      <w:r>
        <w:rPr>
          <w:rFonts w:hint="eastAsia" w:asciiTheme="minorEastAsia" w:hAnsiTheme="minorEastAsia" w:eastAsiaTheme="minorEastAsia" w:cstheme="minorEastAsia"/>
          <w:sz w:val="21"/>
          <w:szCs w:val="21"/>
        </w:rPr>
        <w:t>响应报价自报价截止之日起90天内有效。若报价被接受则直至合同生效时止始终有效。</w:t>
      </w:r>
      <w:bookmarkEnd w:id="131"/>
      <w:bookmarkEnd w:id="132"/>
      <w:bookmarkEnd w:id="133"/>
    </w:p>
    <w:p>
      <w:pPr>
        <w:pStyle w:val="7"/>
        <w:numPr>
          <w:ilvl w:val="0"/>
          <w:numId w:val="7"/>
        </w:numPr>
        <w:snapToGrid w:val="0"/>
        <w:spacing w:before="120" w:line="360" w:lineRule="auto"/>
        <w:ind w:firstLine="422"/>
        <w:outlineLvl w:val="1"/>
        <w:rPr>
          <w:rFonts w:asciiTheme="minorEastAsia" w:hAnsiTheme="minorEastAsia" w:eastAsiaTheme="minorEastAsia" w:cstheme="minorEastAsia"/>
          <w:b/>
          <w:sz w:val="21"/>
          <w:szCs w:val="21"/>
        </w:rPr>
      </w:pPr>
      <w:bookmarkStart w:id="134" w:name="_Toc223939096"/>
      <w:bookmarkStart w:id="135" w:name="_Toc9203"/>
      <w:bookmarkStart w:id="136" w:name="_Toc228899502"/>
      <w:bookmarkStart w:id="137" w:name="_Toc225565948"/>
      <w:bookmarkStart w:id="138" w:name="_Toc2341286"/>
      <w:bookmarkStart w:id="139" w:name="_Toc2341711"/>
      <w:bookmarkStart w:id="140" w:name="_Toc2341904"/>
      <w:bookmarkStart w:id="141" w:name="_Toc533236379"/>
      <w:bookmarkStart w:id="142" w:name="_Toc238282335"/>
      <w:bookmarkStart w:id="143" w:name="_Toc224435721"/>
      <w:bookmarkStart w:id="144" w:name="_Toc9967"/>
      <w:bookmarkStart w:id="145" w:name="_Toc228644973"/>
      <w:bookmarkStart w:id="146" w:name="_Toc334797735"/>
      <w:bookmarkStart w:id="147" w:name="_Toc26147"/>
      <w:bookmarkStart w:id="148" w:name="_Toc2341655"/>
      <w:bookmarkStart w:id="149" w:name="_Toc185747581"/>
      <w:bookmarkStart w:id="150" w:name="_Toc2991"/>
      <w:bookmarkStart w:id="151" w:name="_Toc130697187"/>
      <w:bookmarkStart w:id="152" w:name="_Toc130695595"/>
      <w:bookmarkStart w:id="153" w:name="_Toc61327402"/>
      <w:bookmarkStart w:id="154" w:name="_Toc153615292"/>
      <w:r>
        <w:rPr>
          <w:rFonts w:hint="eastAsia" w:asciiTheme="minorEastAsia" w:hAnsiTheme="minorEastAsia" w:eastAsiaTheme="minorEastAsia" w:cstheme="minorEastAsia"/>
          <w:b/>
          <w:sz w:val="21"/>
          <w:szCs w:val="21"/>
        </w:rPr>
        <w:t>响应总则</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pStyle w:val="7"/>
        <w:numPr>
          <w:ilvl w:val="0"/>
          <w:numId w:val="11"/>
        </w:numPr>
        <w:snapToGrid w:val="0"/>
        <w:spacing w:before="120" w:line="360" w:lineRule="auto"/>
        <w:ind w:firstLine="420"/>
        <w:rPr>
          <w:rFonts w:asciiTheme="minorEastAsia" w:hAnsiTheme="minorEastAsia" w:eastAsiaTheme="minorEastAsia" w:cstheme="minorEastAsia"/>
          <w:sz w:val="21"/>
          <w:szCs w:val="21"/>
        </w:rPr>
      </w:pPr>
      <w:bookmarkStart w:id="155" w:name="_Toc21770"/>
      <w:bookmarkStart w:id="156" w:name="_Toc23836"/>
      <w:bookmarkStart w:id="157" w:name="_Toc20735"/>
      <w:bookmarkStart w:id="158" w:name="_Toc2341712"/>
      <w:bookmarkStart w:id="159" w:name="_Toc2341287"/>
      <w:r>
        <w:rPr>
          <w:rFonts w:hint="eastAsia" w:asciiTheme="minorEastAsia" w:hAnsiTheme="minorEastAsia" w:eastAsiaTheme="minorEastAsia" w:cstheme="minorEastAsia"/>
          <w:sz w:val="21"/>
          <w:szCs w:val="21"/>
        </w:rPr>
        <w:t>全部响应文件应</w:t>
      </w:r>
      <w:r>
        <w:rPr>
          <w:rFonts w:hint="eastAsia" w:asciiTheme="minorEastAsia" w:hAnsiTheme="minorEastAsia" w:eastAsiaTheme="minorEastAsia" w:cstheme="minorEastAsia"/>
          <w:sz w:val="21"/>
          <w:szCs w:val="21"/>
          <w:u w:val="single"/>
        </w:rPr>
        <w:t>一式三</w:t>
      </w:r>
      <w:r>
        <w:rPr>
          <w:rFonts w:hint="eastAsia" w:asciiTheme="minorEastAsia" w:hAnsiTheme="minorEastAsia" w:eastAsiaTheme="minorEastAsia" w:cstheme="minorEastAsia"/>
          <w:sz w:val="21"/>
          <w:szCs w:val="21"/>
        </w:rPr>
        <w:t>份，其中正本</w:t>
      </w:r>
      <w:r>
        <w:rPr>
          <w:rFonts w:hint="eastAsia" w:asciiTheme="minorEastAsia" w:hAnsiTheme="minorEastAsia" w:eastAsiaTheme="minorEastAsia" w:cstheme="minorEastAsia"/>
          <w:sz w:val="21"/>
          <w:szCs w:val="21"/>
          <w:u w:val="single"/>
        </w:rPr>
        <w:t>一</w:t>
      </w:r>
      <w:r>
        <w:rPr>
          <w:rFonts w:hint="eastAsia" w:asciiTheme="minorEastAsia" w:hAnsiTheme="minorEastAsia" w:eastAsiaTheme="minorEastAsia" w:cstheme="minorEastAsia"/>
          <w:sz w:val="21"/>
          <w:szCs w:val="21"/>
        </w:rPr>
        <w:t>份（附电子文件1份），副本</w:t>
      </w:r>
      <w:r>
        <w:rPr>
          <w:rFonts w:hint="eastAsia" w:asciiTheme="minorEastAsia" w:hAnsiTheme="minorEastAsia" w:eastAsiaTheme="minorEastAsia" w:cstheme="minorEastAsia"/>
          <w:sz w:val="21"/>
          <w:szCs w:val="21"/>
          <w:u w:val="single"/>
        </w:rPr>
        <w:t>二</w:t>
      </w:r>
      <w:r>
        <w:rPr>
          <w:rFonts w:hint="eastAsia" w:asciiTheme="minorEastAsia" w:hAnsiTheme="minorEastAsia" w:eastAsiaTheme="minorEastAsia" w:cstheme="minorEastAsia"/>
          <w:sz w:val="21"/>
          <w:szCs w:val="21"/>
        </w:rPr>
        <w:t>份。所有响应文件应用</w:t>
      </w:r>
      <w:r>
        <w:rPr>
          <w:rFonts w:hint="eastAsia" w:asciiTheme="minorEastAsia" w:hAnsiTheme="minorEastAsia" w:eastAsiaTheme="minorEastAsia" w:cstheme="minorEastAsia"/>
          <w:sz w:val="21"/>
          <w:szCs w:val="21"/>
          <w:u w:val="single"/>
        </w:rPr>
        <w:t>A4</w:t>
      </w:r>
      <w:r>
        <w:rPr>
          <w:rFonts w:hint="eastAsia" w:asciiTheme="minorEastAsia" w:hAnsiTheme="minorEastAsia" w:eastAsiaTheme="minorEastAsia" w:cstheme="minorEastAsia"/>
          <w:sz w:val="21"/>
          <w:szCs w:val="21"/>
        </w:rPr>
        <w:t>规格纸打印（图纸可按其他规格），并装订成册。响应文件于封面注明“正本”和“副本”。如果正本与副本不符，应以正本为准。响应文件应由竞选人的合法授权代表正式签署，任何更改（如果有的话）应由原签署人签字。所有不完整的响应将被拒绝。无论响应结果如何，竞选人的全部响应文件均不退回。</w:t>
      </w:r>
      <w:bookmarkEnd w:id="155"/>
      <w:bookmarkEnd w:id="156"/>
      <w:bookmarkEnd w:id="157"/>
      <w:bookmarkEnd w:id="158"/>
      <w:bookmarkEnd w:id="159"/>
    </w:p>
    <w:p>
      <w:pPr>
        <w:pStyle w:val="7"/>
        <w:numPr>
          <w:ilvl w:val="0"/>
          <w:numId w:val="11"/>
        </w:numPr>
        <w:snapToGrid w:val="0"/>
        <w:spacing w:before="120" w:line="360" w:lineRule="auto"/>
        <w:ind w:firstLine="420"/>
        <w:rPr>
          <w:rFonts w:asciiTheme="minorEastAsia" w:hAnsiTheme="minorEastAsia" w:eastAsiaTheme="minorEastAsia" w:cstheme="minorEastAsia"/>
          <w:sz w:val="21"/>
          <w:szCs w:val="21"/>
        </w:rPr>
      </w:pPr>
      <w:bookmarkStart w:id="160" w:name="_Toc2341713"/>
      <w:bookmarkStart w:id="161" w:name="_Toc27847"/>
      <w:bookmarkStart w:id="162" w:name="_Toc15431"/>
      <w:bookmarkStart w:id="163" w:name="_Toc2341288"/>
      <w:bookmarkStart w:id="164" w:name="_Toc5938"/>
      <w:r>
        <w:rPr>
          <w:rFonts w:hint="eastAsia" w:asciiTheme="minorEastAsia" w:hAnsiTheme="minorEastAsia" w:eastAsiaTheme="minorEastAsia" w:cstheme="minorEastAsia"/>
          <w:sz w:val="21"/>
          <w:szCs w:val="21"/>
        </w:rPr>
        <w:t>竞选人应对响应内容提供完整详细的技术（服务）说明，如竞选人对指定的技术（服务）要求建议做任何改动，应在响应文件中清楚地注明。</w:t>
      </w:r>
      <w:bookmarkEnd w:id="160"/>
      <w:bookmarkEnd w:id="161"/>
      <w:bookmarkEnd w:id="162"/>
      <w:bookmarkEnd w:id="163"/>
      <w:bookmarkEnd w:id="164"/>
    </w:p>
    <w:p>
      <w:pPr>
        <w:pStyle w:val="7"/>
        <w:numPr>
          <w:ilvl w:val="0"/>
          <w:numId w:val="11"/>
        </w:numPr>
        <w:snapToGrid w:val="0"/>
        <w:spacing w:before="120" w:line="360" w:lineRule="auto"/>
        <w:ind w:firstLine="420"/>
        <w:rPr>
          <w:rFonts w:asciiTheme="minorEastAsia" w:hAnsiTheme="minorEastAsia" w:eastAsiaTheme="minorEastAsia" w:cstheme="minorEastAsia"/>
          <w:sz w:val="21"/>
          <w:szCs w:val="21"/>
        </w:rPr>
      </w:pPr>
      <w:bookmarkStart w:id="165" w:name="_Toc2341714"/>
      <w:bookmarkStart w:id="166" w:name="_Toc13918"/>
      <w:bookmarkStart w:id="167" w:name="_Toc8700"/>
      <w:bookmarkStart w:id="168" w:name="_Toc14014"/>
      <w:bookmarkStart w:id="169" w:name="_Toc2341289"/>
      <w:r>
        <w:rPr>
          <w:rFonts w:hint="eastAsia" w:asciiTheme="minorEastAsia" w:hAnsiTheme="minorEastAsia" w:eastAsiaTheme="minorEastAsia" w:cstheme="minorEastAsia"/>
          <w:sz w:val="21"/>
          <w:szCs w:val="21"/>
        </w:rPr>
        <w:t>竞选人资格文件视为响应文件不可分割的一部分。</w:t>
      </w:r>
      <w:bookmarkEnd w:id="165"/>
      <w:bookmarkEnd w:id="166"/>
      <w:bookmarkEnd w:id="167"/>
      <w:bookmarkEnd w:id="168"/>
      <w:bookmarkEnd w:id="169"/>
    </w:p>
    <w:p>
      <w:pPr>
        <w:pStyle w:val="7"/>
        <w:numPr>
          <w:ilvl w:val="0"/>
          <w:numId w:val="11"/>
        </w:numPr>
        <w:snapToGrid w:val="0"/>
        <w:spacing w:before="120" w:line="360" w:lineRule="auto"/>
        <w:ind w:firstLine="420"/>
        <w:rPr>
          <w:rFonts w:asciiTheme="minorEastAsia" w:hAnsiTheme="minorEastAsia" w:eastAsiaTheme="minorEastAsia" w:cstheme="minorEastAsia"/>
          <w:sz w:val="21"/>
          <w:szCs w:val="21"/>
        </w:rPr>
      </w:pPr>
      <w:bookmarkStart w:id="170" w:name="_Toc2341715"/>
      <w:bookmarkStart w:id="171" w:name="_Toc2341290"/>
      <w:bookmarkStart w:id="172" w:name="_Toc11936"/>
      <w:bookmarkStart w:id="173" w:name="_Toc18955"/>
      <w:bookmarkStart w:id="174" w:name="_Toc23281"/>
      <w:r>
        <w:rPr>
          <w:rFonts w:hint="eastAsia" w:asciiTheme="minorEastAsia" w:hAnsiTheme="minorEastAsia" w:eastAsiaTheme="minorEastAsia" w:cstheme="minorEastAsia"/>
          <w:sz w:val="21"/>
          <w:szCs w:val="21"/>
        </w:rPr>
        <w:t>所有响应文件应在响应截止时间前送达评审地点，并交予采购人，任何迟于截止时间的响应将被拒绝。</w:t>
      </w:r>
      <w:bookmarkEnd w:id="170"/>
      <w:bookmarkEnd w:id="171"/>
      <w:bookmarkEnd w:id="172"/>
      <w:bookmarkEnd w:id="173"/>
      <w:bookmarkEnd w:id="174"/>
    </w:p>
    <w:p>
      <w:pPr>
        <w:pStyle w:val="7"/>
        <w:numPr>
          <w:ilvl w:val="0"/>
          <w:numId w:val="11"/>
        </w:numPr>
        <w:snapToGrid w:val="0"/>
        <w:spacing w:before="120" w:line="360" w:lineRule="auto"/>
        <w:ind w:firstLine="420"/>
        <w:rPr>
          <w:rFonts w:asciiTheme="minorEastAsia" w:hAnsiTheme="minorEastAsia" w:eastAsiaTheme="minorEastAsia" w:cstheme="minorEastAsia"/>
          <w:sz w:val="21"/>
          <w:szCs w:val="21"/>
        </w:rPr>
      </w:pPr>
      <w:bookmarkStart w:id="175" w:name="_Toc2341291"/>
      <w:bookmarkStart w:id="176" w:name="_Toc2341716"/>
      <w:bookmarkStart w:id="177" w:name="_Toc1033"/>
      <w:bookmarkStart w:id="178" w:name="_Toc7270"/>
      <w:bookmarkStart w:id="179" w:name="_Toc17302"/>
      <w:r>
        <w:rPr>
          <w:rFonts w:hint="eastAsia" w:asciiTheme="minorEastAsia" w:hAnsiTheme="minorEastAsia" w:eastAsiaTheme="minorEastAsia" w:cstheme="minorEastAsia"/>
          <w:sz w:val="21"/>
          <w:szCs w:val="21"/>
        </w:rPr>
        <w:t>所有响应文件必须封入密封完好的信封或包装，封口加盖响应单位公章，包装封面参考格式见采购文件第</w:t>
      </w:r>
      <w:bookmarkEnd w:id="175"/>
      <w:bookmarkEnd w:id="176"/>
      <w:r>
        <w:rPr>
          <w:rFonts w:hint="eastAsia" w:asciiTheme="minorEastAsia" w:hAnsiTheme="minorEastAsia" w:eastAsiaTheme="minorEastAsia" w:cstheme="minorEastAsia"/>
          <w:sz w:val="21"/>
          <w:szCs w:val="21"/>
        </w:rPr>
        <w:t>五章响应文件格式。</w:t>
      </w:r>
      <w:bookmarkEnd w:id="177"/>
      <w:bookmarkEnd w:id="178"/>
      <w:bookmarkEnd w:id="179"/>
      <w:r>
        <w:rPr>
          <w:rFonts w:hint="eastAsia" w:asciiTheme="minorEastAsia" w:hAnsiTheme="minorEastAsia" w:eastAsiaTheme="minorEastAsia" w:cstheme="minorEastAsia"/>
          <w:sz w:val="21"/>
          <w:szCs w:val="21"/>
        </w:rPr>
        <w:t xml:space="preserve"> </w:t>
      </w:r>
    </w:p>
    <w:p>
      <w:pPr>
        <w:pStyle w:val="7"/>
        <w:numPr>
          <w:ilvl w:val="0"/>
          <w:numId w:val="11"/>
        </w:numPr>
        <w:snapToGrid w:val="0"/>
        <w:spacing w:before="120" w:line="360" w:lineRule="auto"/>
        <w:ind w:firstLine="420"/>
        <w:rPr>
          <w:rFonts w:asciiTheme="minorEastAsia" w:hAnsiTheme="minorEastAsia" w:eastAsiaTheme="minorEastAsia" w:cstheme="minorEastAsia"/>
          <w:sz w:val="21"/>
          <w:szCs w:val="21"/>
        </w:rPr>
      </w:pPr>
      <w:bookmarkStart w:id="180" w:name="_Toc21777"/>
      <w:bookmarkStart w:id="181" w:name="_Toc23869"/>
      <w:bookmarkStart w:id="182" w:name="_Toc21357"/>
      <w:r>
        <w:rPr>
          <w:rFonts w:hint="eastAsia" w:asciiTheme="minorEastAsia" w:hAnsiTheme="minorEastAsia" w:eastAsiaTheme="minorEastAsia" w:cstheme="minorEastAsia"/>
          <w:sz w:val="21"/>
          <w:szCs w:val="21"/>
        </w:rPr>
        <w:t>采购人不接受电报、电话、电传、传真等非约定形式响应。</w:t>
      </w:r>
      <w:bookmarkEnd w:id="151"/>
      <w:bookmarkEnd w:id="152"/>
      <w:bookmarkEnd w:id="153"/>
      <w:bookmarkEnd w:id="154"/>
      <w:bookmarkEnd w:id="180"/>
      <w:bookmarkEnd w:id="181"/>
      <w:bookmarkEnd w:id="182"/>
    </w:p>
    <w:p>
      <w:pPr>
        <w:pStyle w:val="7"/>
        <w:snapToGrid w:val="0"/>
        <w:spacing w:before="120" w:line="360" w:lineRule="auto"/>
        <w:ind w:firstLine="0" w:firstLineChars="0"/>
        <w:rPr>
          <w:rFonts w:asciiTheme="minorEastAsia" w:hAnsiTheme="minorEastAsia" w:eastAsiaTheme="minorEastAsia" w:cstheme="minorEastAsia"/>
          <w:sz w:val="21"/>
          <w:szCs w:val="21"/>
        </w:rPr>
      </w:pPr>
    </w:p>
    <w:p>
      <w:pPr>
        <w:pStyle w:val="7"/>
        <w:snapToGrid w:val="0"/>
        <w:spacing w:before="120" w:line="360" w:lineRule="auto"/>
        <w:ind w:firstLine="0" w:firstLineChars="0"/>
        <w:rPr>
          <w:rFonts w:asciiTheme="minorEastAsia" w:hAnsiTheme="minorEastAsia" w:eastAsiaTheme="minorEastAsia" w:cstheme="minorEastAsia"/>
          <w:sz w:val="21"/>
          <w:szCs w:val="21"/>
        </w:rPr>
      </w:pPr>
    </w:p>
    <w:p>
      <w:pPr>
        <w:pStyle w:val="7"/>
        <w:snapToGrid w:val="0"/>
        <w:spacing w:before="120" w:line="360" w:lineRule="auto"/>
        <w:ind w:firstLine="0" w:firstLineChars="0"/>
        <w:rPr>
          <w:rFonts w:asciiTheme="minorEastAsia" w:hAnsiTheme="minorEastAsia" w:eastAsiaTheme="minorEastAsia" w:cstheme="minorEastAsia"/>
          <w:sz w:val="21"/>
          <w:szCs w:val="21"/>
        </w:rPr>
      </w:pPr>
    </w:p>
    <w:p>
      <w:pPr>
        <w:pStyle w:val="7"/>
        <w:snapToGrid w:val="0"/>
        <w:spacing w:before="120" w:line="360" w:lineRule="auto"/>
        <w:ind w:firstLine="0" w:firstLineChars="0"/>
        <w:rPr>
          <w:rFonts w:asciiTheme="minorEastAsia" w:hAnsiTheme="minorEastAsia" w:eastAsiaTheme="minorEastAsia" w:cstheme="minorEastAsia"/>
          <w:sz w:val="21"/>
          <w:szCs w:val="21"/>
        </w:rPr>
      </w:pPr>
    </w:p>
    <w:p>
      <w:pPr>
        <w:pStyle w:val="7"/>
        <w:snapToGrid w:val="0"/>
        <w:spacing w:before="120" w:line="360" w:lineRule="auto"/>
        <w:ind w:firstLine="0" w:firstLineChars="0"/>
        <w:rPr>
          <w:rFonts w:asciiTheme="minorEastAsia" w:hAnsiTheme="minorEastAsia" w:eastAsiaTheme="minorEastAsia" w:cstheme="minorEastAsia"/>
          <w:sz w:val="21"/>
          <w:szCs w:val="21"/>
        </w:rPr>
      </w:pPr>
    </w:p>
    <w:p>
      <w:pPr>
        <w:pStyle w:val="7"/>
        <w:snapToGrid w:val="0"/>
        <w:spacing w:before="120" w:line="360" w:lineRule="auto"/>
        <w:ind w:firstLine="0" w:firstLineChars="0"/>
        <w:rPr>
          <w:rFonts w:asciiTheme="minorEastAsia" w:hAnsiTheme="minorEastAsia" w:eastAsiaTheme="minorEastAsia" w:cstheme="minorEastAsia"/>
          <w:sz w:val="21"/>
          <w:szCs w:val="21"/>
        </w:rPr>
      </w:pPr>
    </w:p>
    <w:p>
      <w:pPr>
        <w:pStyle w:val="7"/>
        <w:snapToGrid w:val="0"/>
        <w:spacing w:before="120" w:line="360" w:lineRule="auto"/>
        <w:ind w:firstLine="0" w:firstLineChars="0"/>
        <w:rPr>
          <w:rFonts w:asciiTheme="minorEastAsia" w:hAnsiTheme="minorEastAsia" w:eastAsiaTheme="minorEastAsia" w:cstheme="minorEastAsia"/>
          <w:sz w:val="21"/>
          <w:szCs w:val="21"/>
        </w:rPr>
      </w:pPr>
    </w:p>
    <w:p>
      <w:pPr>
        <w:numPr>
          <w:ilvl w:val="0"/>
          <w:numId w:val="2"/>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bookmarkStart w:id="183" w:name="_Toc7418"/>
      <w:bookmarkStart w:id="184" w:name="_Toc15057"/>
      <w:bookmarkStart w:id="185" w:name="_Toc5692_WPSOffice_Level1"/>
      <w:bookmarkStart w:id="186" w:name="_Toc8969"/>
      <w:bookmarkStart w:id="187" w:name="_Toc11723"/>
      <w:r>
        <w:rPr>
          <w:rFonts w:hint="eastAsia" w:asciiTheme="minorEastAsia" w:hAnsiTheme="minorEastAsia" w:eastAsiaTheme="minorEastAsia" w:cstheme="minorEastAsia"/>
          <w:b/>
          <w:bCs/>
          <w:sz w:val="28"/>
          <w:szCs w:val="28"/>
        </w:rPr>
        <w:t>用户需求书</w:t>
      </w:r>
      <w:bookmarkEnd w:id="183"/>
      <w:bookmarkEnd w:id="184"/>
      <w:bookmarkEnd w:id="185"/>
      <w:bookmarkEnd w:id="186"/>
      <w:bookmarkEnd w:id="187"/>
    </w:p>
    <w:p>
      <w:pPr>
        <w:numPr>
          <w:ilvl w:val="0"/>
          <w:numId w:val="12"/>
        </w:numPr>
        <w:spacing w:line="360" w:lineRule="auto"/>
        <w:outlineLvl w:val="1"/>
        <w:rPr>
          <w:rFonts w:asciiTheme="minorEastAsia" w:hAnsiTheme="minorEastAsia" w:eastAsiaTheme="minorEastAsia" w:cstheme="minorEastAsia"/>
          <w:b/>
          <w:szCs w:val="21"/>
        </w:rPr>
      </w:pPr>
      <w:bookmarkStart w:id="188" w:name="_Toc13052"/>
      <w:bookmarkStart w:id="189" w:name="_Toc9498"/>
      <w:r>
        <w:rPr>
          <w:rFonts w:hint="eastAsia" w:asciiTheme="minorEastAsia" w:hAnsiTheme="minorEastAsia" w:eastAsiaTheme="minorEastAsia" w:cstheme="minorEastAsia"/>
          <w:b/>
          <w:szCs w:val="21"/>
        </w:rPr>
        <w:t>项目需求</w:t>
      </w:r>
      <w:bookmarkEnd w:id="188"/>
      <w:bookmarkEnd w:id="189"/>
    </w:p>
    <w:tbl>
      <w:tblPr>
        <w:tblStyle w:val="21"/>
        <w:tblW w:w="93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2807"/>
        <w:gridCol w:w="1312"/>
        <w:gridCol w:w="3029"/>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序号</w:t>
            </w:r>
          </w:p>
        </w:tc>
        <w:tc>
          <w:tcPr>
            <w:tcW w:w="28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货物名称</w:t>
            </w: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数量（台）</w:t>
            </w:r>
          </w:p>
        </w:tc>
        <w:tc>
          <w:tcPr>
            <w:tcW w:w="302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最高限价</w:t>
            </w: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1</w:t>
            </w:r>
          </w:p>
        </w:tc>
        <w:tc>
          <w:tcPr>
            <w:tcW w:w="2807" w:type="dxa"/>
            <w:tcBorders>
              <w:top w:val="single" w:color="auto" w:sz="4" w:space="0"/>
              <w:left w:val="single" w:color="auto" w:sz="4" w:space="0"/>
              <w:bottom w:val="single" w:color="auto" w:sz="4" w:space="0"/>
              <w:right w:val="single" w:color="auto" w:sz="4" w:space="0"/>
            </w:tcBorders>
            <w:vAlign w:val="center"/>
          </w:tcPr>
          <w:p>
            <w:pPr>
              <w:outlineLvl w:val="9"/>
              <w:rPr>
                <w:rFonts w:ascii="宋体" w:hAnsi="宋体" w:cs="宋体"/>
                <w:sz w:val="21"/>
                <w:szCs w:val="21"/>
              </w:rPr>
            </w:pPr>
            <w:r>
              <w:rPr>
                <w:rFonts w:hint="eastAsia" w:ascii="宋体" w:hAnsi="宋体" w:cs="宋体"/>
                <w:b w:val="0"/>
                <w:bCs/>
                <w:sz w:val="21"/>
                <w:szCs w:val="21"/>
              </w:rPr>
              <w:t>便携式环境级x/γ剂量率仪</w:t>
            </w: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3029" w:type="dxa"/>
            <w:vMerge w:val="restart"/>
            <w:tcBorders>
              <w:top w:val="single" w:color="auto" w:sz="4" w:space="0"/>
              <w:left w:val="single" w:color="auto" w:sz="4" w:space="0"/>
              <w:right w:val="single" w:color="auto" w:sz="4" w:space="0"/>
            </w:tcBorders>
            <w:vAlign w:val="center"/>
          </w:tcPr>
          <w:p>
            <w:pPr>
              <w:pStyle w:val="22"/>
              <w:spacing w:line="240" w:lineRule="auto"/>
              <w:ind w:firstLine="120"/>
              <w:rPr>
                <w:rFonts w:ascii="宋体" w:hAnsi="宋体"/>
                <w:spacing w:val="0"/>
                <w:kern w:val="2"/>
                <w:sz w:val="21"/>
                <w:szCs w:val="21"/>
              </w:rPr>
            </w:pPr>
            <w:r>
              <w:rPr>
                <w:rFonts w:hint="eastAsia" w:ascii="宋体" w:hAnsi="宋体"/>
                <w:spacing w:val="0"/>
                <w:kern w:val="2"/>
                <w:sz w:val="21"/>
                <w:szCs w:val="21"/>
              </w:rPr>
              <w:t>人民币</w:t>
            </w:r>
            <w:r>
              <w:rPr>
                <w:rFonts w:hint="eastAsia" w:ascii="宋体" w:hAnsi="宋体"/>
                <w:spacing w:val="0"/>
                <w:kern w:val="2"/>
                <w:sz w:val="21"/>
                <w:szCs w:val="21"/>
                <w:u w:val="single"/>
              </w:rPr>
              <w:t xml:space="preserve"> 45 </w:t>
            </w:r>
            <w:r>
              <w:rPr>
                <w:rFonts w:hint="eastAsia" w:ascii="宋体" w:hAnsi="宋体"/>
                <w:spacing w:val="0"/>
                <w:kern w:val="2"/>
                <w:sz w:val="21"/>
                <w:szCs w:val="21"/>
              </w:rPr>
              <w:t>万元（含增值税）</w:t>
            </w:r>
          </w:p>
        </w:tc>
        <w:tc>
          <w:tcPr>
            <w:tcW w:w="1375" w:type="dxa"/>
            <w:vMerge w:val="restart"/>
            <w:tcBorders>
              <w:top w:val="single" w:color="auto" w:sz="4" w:space="0"/>
              <w:left w:val="single" w:color="auto" w:sz="4" w:space="0"/>
              <w:right w:val="single" w:color="auto" w:sz="4" w:space="0"/>
            </w:tcBorders>
            <w:vAlign w:val="center"/>
          </w:tcPr>
          <w:p>
            <w:pPr>
              <w:rPr>
                <w:rFonts w:ascii="宋体" w:hAnsi="宋体"/>
                <w:bCs/>
                <w:szCs w:val="21"/>
              </w:rPr>
            </w:pPr>
            <w:r>
              <w:rPr>
                <w:rFonts w:hint="eastAsia" w:ascii="宋体" w:hAnsi="宋体"/>
                <w:snapToGrid w:val="0"/>
                <w:szCs w:val="21"/>
                <w:lang w:val="zh-CN"/>
              </w:rPr>
              <w:t>合同签订之日起</w:t>
            </w:r>
            <w:r>
              <w:rPr>
                <w:rFonts w:hint="eastAsia" w:ascii="宋体" w:hAnsi="宋体"/>
                <w:snapToGrid w:val="0"/>
                <w:szCs w:val="21"/>
              </w:rPr>
              <w:t>15日历日</w:t>
            </w:r>
            <w:r>
              <w:rPr>
                <w:rFonts w:hint="eastAsia" w:ascii="宋体" w:hAnsi="宋体"/>
                <w:snapToGrid w:val="0"/>
                <w:szCs w:val="21"/>
                <w:lang w:val="zh-CN"/>
              </w:rPr>
              <w:t>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2</w:t>
            </w:r>
          </w:p>
        </w:tc>
        <w:tc>
          <w:tcPr>
            <w:tcW w:w="2807" w:type="dxa"/>
            <w:tcBorders>
              <w:top w:val="single" w:color="auto" w:sz="4" w:space="0"/>
              <w:left w:val="single" w:color="auto" w:sz="4" w:space="0"/>
              <w:bottom w:val="single" w:color="auto" w:sz="4" w:space="0"/>
              <w:right w:val="single" w:color="auto" w:sz="4" w:space="0"/>
            </w:tcBorders>
            <w:vAlign w:val="center"/>
          </w:tcPr>
          <w:p>
            <w:pPr>
              <w:outlineLvl w:val="9"/>
              <w:rPr>
                <w:rFonts w:ascii="宋体" w:hAnsi="宋体" w:cs="宋体"/>
                <w:sz w:val="21"/>
                <w:szCs w:val="21"/>
              </w:rPr>
            </w:pPr>
            <w:r>
              <w:rPr>
                <w:rFonts w:hint="eastAsia" w:ascii="宋体" w:hAnsi="宋体" w:cs="宋体"/>
                <w:b w:val="0"/>
                <w:bCs/>
                <w:sz w:val="21"/>
                <w:szCs w:val="21"/>
              </w:rPr>
              <w:t>α、β表面污染测量仪</w:t>
            </w: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3029" w:type="dxa"/>
            <w:vMerge w:val="continue"/>
            <w:tcBorders>
              <w:left w:val="single" w:color="auto" w:sz="4" w:space="0"/>
              <w:right w:val="single" w:color="auto" w:sz="4" w:space="0"/>
            </w:tcBorders>
            <w:vAlign w:val="center"/>
          </w:tcPr>
          <w:p>
            <w:pPr>
              <w:pStyle w:val="22"/>
              <w:spacing w:line="240" w:lineRule="auto"/>
              <w:ind w:firstLine="120"/>
              <w:rPr>
                <w:rFonts w:ascii="宋体" w:hAnsi="宋体"/>
                <w:spacing w:val="0"/>
                <w:kern w:val="2"/>
                <w:sz w:val="21"/>
                <w:szCs w:val="21"/>
              </w:rPr>
            </w:pPr>
          </w:p>
        </w:tc>
        <w:tc>
          <w:tcPr>
            <w:tcW w:w="1375" w:type="dxa"/>
            <w:vMerge w:val="continue"/>
            <w:tcBorders>
              <w:left w:val="single" w:color="auto" w:sz="4" w:space="0"/>
              <w:right w:val="single" w:color="auto" w:sz="4"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8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3</w:t>
            </w:r>
          </w:p>
        </w:tc>
        <w:tc>
          <w:tcPr>
            <w:tcW w:w="2807" w:type="dxa"/>
            <w:tcBorders>
              <w:top w:val="single" w:color="auto" w:sz="4" w:space="0"/>
              <w:left w:val="single" w:color="auto" w:sz="4" w:space="0"/>
              <w:bottom w:val="single" w:color="auto" w:sz="4" w:space="0"/>
              <w:right w:val="single" w:color="auto" w:sz="4" w:space="0"/>
            </w:tcBorders>
            <w:vAlign w:val="center"/>
          </w:tcPr>
          <w:p>
            <w:pPr>
              <w:outlineLvl w:val="9"/>
              <w:rPr>
                <w:rFonts w:ascii="宋体" w:hAnsi="宋体" w:cs="宋体"/>
                <w:sz w:val="21"/>
                <w:szCs w:val="21"/>
              </w:rPr>
            </w:pPr>
            <w:r>
              <w:rPr>
                <w:rFonts w:hint="eastAsia" w:ascii="宋体" w:hAnsi="宋体" w:cs="宋体"/>
                <w:b w:val="0"/>
                <w:bCs/>
                <w:sz w:val="21"/>
                <w:szCs w:val="21"/>
              </w:rPr>
              <w:t>电磁辐射分析仪</w:t>
            </w: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3029" w:type="dxa"/>
            <w:vMerge w:val="continue"/>
            <w:tcBorders>
              <w:left w:val="single" w:color="auto" w:sz="4" w:space="0"/>
              <w:right w:val="single" w:color="auto" w:sz="4" w:space="0"/>
            </w:tcBorders>
            <w:vAlign w:val="center"/>
          </w:tcPr>
          <w:p>
            <w:pPr>
              <w:pStyle w:val="22"/>
              <w:spacing w:line="240" w:lineRule="auto"/>
              <w:ind w:firstLine="120"/>
              <w:rPr>
                <w:rFonts w:ascii="宋体" w:hAnsi="宋体"/>
                <w:spacing w:val="0"/>
                <w:kern w:val="2"/>
                <w:sz w:val="21"/>
                <w:szCs w:val="21"/>
              </w:rPr>
            </w:pPr>
          </w:p>
        </w:tc>
        <w:tc>
          <w:tcPr>
            <w:tcW w:w="1375" w:type="dxa"/>
            <w:vMerge w:val="continue"/>
            <w:tcBorders>
              <w:left w:val="single" w:color="auto" w:sz="4" w:space="0"/>
              <w:right w:val="single" w:color="auto" w:sz="4" w:space="0"/>
            </w:tcBorders>
            <w:vAlign w:val="center"/>
          </w:tcPr>
          <w:p>
            <w:pPr>
              <w:jc w:val="center"/>
              <w:rPr>
                <w:rFonts w:ascii="宋体" w:hAnsi="宋体"/>
                <w:bCs/>
                <w:szCs w:val="21"/>
              </w:rPr>
            </w:pPr>
          </w:p>
        </w:tc>
      </w:tr>
    </w:tbl>
    <w:p>
      <w:pPr>
        <w:numPr>
          <w:ilvl w:val="0"/>
          <w:numId w:val="0"/>
        </w:numPr>
        <w:tabs>
          <w:tab w:val="left" w:pos="0"/>
        </w:tabs>
        <w:spacing w:line="360" w:lineRule="auto"/>
        <w:ind w:leftChars="0"/>
        <w:outlineLvl w:val="1"/>
        <w:rPr>
          <w:rFonts w:asciiTheme="minorEastAsia" w:hAnsiTheme="minorEastAsia" w:eastAsiaTheme="minorEastAsia" w:cstheme="minorEastAsia"/>
          <w:b/>
          <w:szCs w:val="21"/>
        </w:rPr>
      </w:pPr>
      <w:bookmarkStart w:id="190" w:name="_Toc25033"/>
    </w:p>
    <w:p>
      <w:pPr>
        <w:numPr>
          <w:ilvl w:val="0"/>
          <w:numId w:val="12"/>
        </w:numPr>
        <w:spacing w:line="360" w:lineRule="auto"/>
        <w:outlineLvl w:val="1"/>
        <w:rPr>
          <w:rFonts w:asciiTheme="minorEastAsia" w:hAnsiTheme="minorEastAsia" w:eastAsiaTheme="minorEastAsia" w:cstheme="minorEastAsia"/>
          <w:b/>
          <w:szCs w:val="21"/>
        </w:rPr>
      </w:pPr>
      <w:bookmarkStart w:id="191" w:name="_Toc10425"/>
      <w:r>
        <w:rPr>
          <w:rFonts w:hint="eastAsia" w:asciiTheme="minorEastAsia" w:hAnsiTheme="minorEastAsia" w:eastAsiaTheme="minorEastAsia" w:cstheme="minorEastAsia"/>
          <w:b/>
          <w:szCs w:val="21"/>
        </w:rPr>
        <w:t>项目技术参数及要求</w:t>
      </w:r>
      <w:bookmarkEnd w:id="190"/>
      <w:bookmarkEnd w:id="191"/>
    </w:p>
    <w:p>
      <w:pPr>
        <w:tabs>
          <w:tab w:val="left" w:pos="0"/>
        </w:tabs>
        <w:spacing w:line="360" w:lineRule="auto"/>
        <w:ind w:firstLine="423"/>
        <w:rPr>
          <w:rFonts w:asciiTheme="minorEastAsia" w:hAnsiTheme="minorEastAsia" w:eastAsiaTheme="minorEastAsia" w:cstheme="minorEastAsia"/>
          <w:b/>
          <w:szCs w:val="21"/>
        </w:rPr>
      </w:pPr>
      <w:bookmarkStart w:id="192" w:name="_Toc2341720"/>
      <w:bookmarkStart w:id="193" w:name="_Toc2341295"/>
      <w:r>
        <w:rPr>
          <w:rFonts w:hint="eastAsia" w:asciiTheme="minorEastAsia" w:hAnsiTheme="minorEastAsia" w:eastAsiaTheme="minorEastAsia" w:cstheme="minorEastAsia"/>
          <w:b/>
          <w:szCs w:val="21"/>
        </w:rPr>
        <w:t>本采购文件中，凡标有“★”的地方，响应人要特别加以注意，必须对此作出实质性响应，若有一项带“★”的指标未响应或不满足，将导致其废止响应或响应无效；凡标有“▲”条款为重要参数，但不作为无效响应条款，仅作为加分项。</w:t>
      </w:r>
      <w:bookmarkEnd w:id="192"/>
      <w:bookmarkEnd w:id="193"/>
    </w:p>
    <w:p>
      <w:pPr>
        <w:pStyle w:val="7"/>
        <w:snapToGrid w:val="0"/>
        <w:spacing w:before="120" w:line="360" w:lineRule="auto"/>
        <w:ind w:firstLine="0" w:firstLineChars="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（一）便携式</w:t>
      </w:r>
      <w:r>
        <w:rPr>
          <w:rFonts w:hint="eastAsia" w:asciiTheme="minorEastAsia" w:hAnsiTheme="minorEastAsia" w:eastAsiaTheme="minorEastAsia" w:cstheme="minorEastAsia"/>
          <w:b/>
          <w:sz w:val="21"/>
          <w:szCs w:val="21"/>
        </w:rPr>
        <w:t>环境级x/γ剂量率仪</w:t>
      </w:r>
    </w:p>
    <w:p>
      <w:pPr>
        <w:widowControl/>
        <w:numPr>
          <w:ilvl w:val="0"/>
          <w:numId w:val="13"/>
        </w:numPr>
        <w:snapToGrid w:val="0"/>
        <w:spacing w:line="360" w:lineRule="auto"/>
        <w:jc w:val="left"/>
        <w:rPr>
          <w:rFonts w:ascii="宋体" w:hAnsi="宋体" w:cs="宋体"/>
          <w:b/>
          <w:szCs w:val="21"/>
        </w:rPr>
      </w:pPr>
      <w:r>
        <w:rPr>
          <w:rFonts w:hint="eastAsia" w:ascii="宋体" w:hAnsi="宋体" w:cs="宋体"/>
          <w:b/>
          <w:szCs w:val="21"/>
        </w:rPr>
        <w:t>用途</w:t>
      </w:r>
    </w:p>
    <w:p>
      <w:pPr>
        <w:widowControl/>
        <w:snapToGrid w:val="0"/>
        <w:spacing w:line="360" w:lineRule="auto"/>
        <w:jc w:val="left"/>
        <w:rPr>
          <w:rFonts w:ascii="宋体" w:hAnsi="宋体" w:cs="宋体"/>
          <w:szCs w:val="21"/>
          <w:shd w:val="clear" w:color="auto" w:fill="FFFFFF"/>
        </w:rPr>
      </w:pPr>
      <w:r>
        <w:rPr>
          <w:rFonts w:hint="eastAsia" w:ascii="宋体" w:hAnsi="宋体" w:cs="宋体"/>
          <w:szCs w:val="21"/>
        </w:rPr>
        <w:t>用于测量环境中的X、γ辐射剂量率，可甄别人工放射性</w:t>
      </w:r>
      <w:r>
        <w:rPr>
          <w:rFonts w:hint="eastAsia" w:ascii="宋体" w:hAnsi="宋体" w:cs="宋体"/>
          <w:szCs w:val="21"/>
          <w:shd w:val="clear" w:color="auto" w:fill="FFFFFF"/>
        </w:rPr>
        <w:t>。</w:t>
      </w:r>
    </w:p>
    <w:p>
      <w:pPr>
        <w:widowControl/>
        <w:numPr>
          <w:ilvl w:val="0"/>
          <w:numId w:val="13"/>
        </w:numPr>
        <w:snapToGrid w:val="0"/>
        <w:spacing w:line="360" w:lineRule="auto"/>
        <w:jc w:val="left"/>
        <w:rPr>
          <w:rFonts w:ascii="宋体" w:hAnsi="宋体" w:cs="宋体"/>
          <w:b/>
          <w:szCs w:val="21"/>
        </w:rPr>
      </w:pPr>
      <w:r>
        <w:rPr>
          <w:rFonts w:hint="eastAsia" w:ascii="宋体" w:hAnsi="宋体" w:cs="宋体"/>
          <w:b/>
          <w:szCs w:val="21"/>
        </w:rPr>
        <w:t>系统配置要求</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 xml:space="preserve">主机  </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 xml:space="preserve">高灵敏γ剂量探头  </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 xml:space="preserve">便携箱 </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 xml:space="preserve">连接电缆 </w:t>
      </w:r>
    </w:p>
    <w:p>
      <w:pPr>
        <w:widowControl/>
        <w:numPr>
          <w:ilvl w:val="0"/>
          <w:numId w:val="13"/>
        </w:numPr>
        <w:snapToGrid w:val="0"/>
        <w:spacing w:line="360" w:lineRule="auto"/>
        <w:jc w:val="left"/>
        <w:rPr>
          <w:rFonts w:ascii="宋体" w:hAnsi="宋体" w:cs="宋体"/>
          <w:b/>
          <w:szCs w:val="21"/>
        </w:rPr>
      </w:pPr>
      <w:r>
        <w:rPr>
          <w:rFonts w:hint="eastAsia" w:ascii="宋体" w:hAnsi="宋体" w:cs="宋体"/>
          <w:b/>
          <w:szCs w:val="21"/>
        </w:rPr>
        <w:t>技术性能指标</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原装进口</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▲具有NBR技术，可区分由天然放射性（NORM）与人工放射性引起的剂量率，并可分别设置不同的剂量率报警值。</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ADF先进的数字化滤波技术，能自动适应探测器速度和辐射强度的变化</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测量范围内剂量和剂量率报警连续可调</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测量常数依据ICRU第39号报告关于剂量当量与剂量率</w:t>
      </w:r>
      <w:r>
        <w:rPr>
          <w:rFonts w:hint="eastAsia" w:ascii="宋体" w:hAnsi="宋体" w:cs="宋体"/>
          <w:szCs w:val="21"/>
        </w:rPr>
        <w:drawing>
          <wp:inline distT="0" distB="0" distL="114300" distR="114300">
            <wp:extent cx="114300" cy="1809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stretch>
                      <a:fillRect/>
                    </a:stretch>
                  </pic:blipFill>
                  <pic:spPr>
                    <a:xfrm>
                      <a:off x="0" y="0"/>
                      <a:ext cx="114300" cy="180975"/>
                    </a:xfrm>
                    <a:prstGeom prst="rect">
                      <a:avLst/>
                    </a:prstGeom>
                    <a:noFill/>
                    <a:ln w="9525">
                      <a:noFill/>
                    </a:ln>
                  </pic:spPr>
                </pic:pic>
              </a:graphicData>
            </a:graphic>
          </wp:inline>
        </w:drawing>
      </w:r>
      <w:r>
        <w:rPr>
          <w:rFonts w:hint="eastAsia" w:ascii="宋体" w:hAnsi="宋体" w:cs="宋体"/>
          <w:szCs w:val="21"/>
        </w:rPr>
        <w:t>*（10）文件，采用新的SI单位测量</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采用主机+探头进行测量</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进口产品需提供进口计量器具形式批准证书</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▲生产厂家具备CANS认证证书</w:t>
      </w:r>
    </w:p>
    <w:p>
      <w:pPr>
        <w:widowControl/>
        <w:numPr>
          <w:ilvl w:val="1"/>
          <w:numId w:val="13"/>
        </w:numPr>
        <w:snapToGrid w:val="0"/>
        <w:spacing w:line="360" w:lineRule="auto"/>
        <w:ind w:left="709" w:hanging="709"/>
        <w:jc w:val="left"/>
        <w:rPr>
          <w:rFonts w:ascii="宋体" w:hAnsi="宋体" w:cs="宋体"/>
          <w:b/>
          <w:bCs/>
          <w:szCs w:val="21"/>
        </w:rPr>
      </w:pPr>
      <w:r>
        <w:rPr>
          <w:rFonts w:hint="eastAsia" w:ascii="宋体" w:hAnsi="宋体" w:cs="宋体"/>
          <w:b/>
          <w:bCs/>
          <w:szCs w:val="21"/>
        </w:rPr>
        <w:t>主机</w:t>
      </w:r>
    </w:p>
    <w:p>
      <w:pPr>
        <w:numPr>
          <w:ilvl w:val="2"/>
          <w:numId w:val="13"/>
        </w:numPr>
        <w:spacing w:line="360" w:lineRule="auto"/>
        <w:rPr>
          <w:rFonts w:ascii="宋体" w:hAnsi="宋体" w:cs="宋体"/>
        </w:rPr>
      </w:pPr>
      <w:r>
        <w:rPr>
          <w:rFonts w:hint="eastAsia" w:ascii="宋体" w:hAnsi="宋体" w:cs="宋体"/>
        </w:rPr>
        <w:t>探测器类型：正比计数管</w:t>
      </w:r>
    </w:p>
    <w:p>
      <w:pPr>
        <w:numPr>
          <w:ilvl w:val="2"/>
          <w:numId w:val="13"/>
        </w:numPr>
        <w:spacing w:line="360" w:lineRule="auto"/>
        <w:rPr>
          <w:rFonts w:ascii="宋体" w:hAnsi="宋体" w:cs="宋体"/>
        </w:rPr>
      </w:pPr>
      <w:r>
        <w:rPr>
          <w:rFonts w:hint="eastAsia" w:ascii="宋体" w:hAnsi="宋体" w:cs="宋体"/>
          <w:szCs w:val="21"/>
        </w:rPr>
        <w:t>▲</w:t>
      </w:r>
      <w:r>
        <w:rPr>
          <w:rFonts w:hint="eastAsia" w:ascii="宋体" w:hAnsi="宋体" w:cs="宋体"/>
        </w:rPr>
        <w:t>能量范围：36keV ~ 1.3MeV</w:t>
      </w:r>
    </w:p>
    <w:p>
      <w:pPr>
        <w:numPr>
          <w:ilvl w:val="2"/>
          <w:numId w:val="13"/>
        </w:numPr>
        <w:spacing w:line="360" w:lineRule="auto"/>
        <w:rPr>
          <w:rFonts w:ascii="宋体" w:hAnsi="宋体" w:cs="宋体"/>
        </w:rPr>
      </w:pPr>
      <w:r>
        <w:rPr>
          <w:rFonts w:hint="eastAsia" w:ascii="宋体" w:hAnsi="宋体" w:cs="宋体"/>
          <w:szCs w:val="21"/>
        </w:rPr>
        <w:t>▲</w:t>
      </w:r>
      <w:r>
        <w:rPr>
          <w:rFonts w:hint="eastAsia" w:ascii="宋体" w:hAnsi="宋体" w:cs="宋体"/>
        </w:rPr>
        <w:t>测量范围：10nSv/h ~ 0.95Sv/h</w:t>
      </w:r>
    </w:p>
    <w:p>
      <w:pPr>
        <w:numPr>
          <w:ilvl w:val="2"/>
          <w:numId w:val="13"/>
        </w:numPr>
        <w:spacing w:line="360" w:lineRule="auto"/>
        <w:rPr>
          <w:rFonts w:ascii="宋体" w:hAnsi="宋体" w:cs="宋体"/>
        </w:rPr>
      </w:pPr>
      <w:r>
        <w:rPr>
          <w:rFonts w:hint="eastAsia" w:ascii="宋体" w:hAnsi="宋体" w:cs="宋体"/>
        </w:rPr>
        <w:t>负荷容积：50Sv/h</w:t>
      </w:r>
    </w:p>
    <w:p>
      <w:pPr>
        <w:numPr>
          <w:ilvl w:val="2"/>
          <w:numId w:val="13"/>
        </w:numPr>
        <w:spacing w:line="360" w:lineRule="auto"/>
        <w:rPr>
          <w:rFonts w:ascii="宋体" w:hAnsi="宋体" w:cs="宋体"/>
        </w:rPr>
      </w:pPr>
      <w:r>
        <w:rPr>
          <w:rFonts w:hint="eastAsia" w:ascii="宋体" w:hAnsi="宋体" w:cs="宋体"/>
        </w:rPr>
        <w:t>角度依赖性：-75°~ +75°之间纵轴方向的单位内角度变化小于20%</w:t>
      </w:r>
    </w:p>
    <w:p>
      <w:pPr>
        <w:numPr>
          <w:ilvl w:val="2"/>
          <w:numId w:val="13"/>
        </w:numPr>
        <w:spacing w:line="360" w:lineRule="auto"/>
        <w:rPr>
          <w:rFonts w:ascii="宋体" w:hAnsi="宋体" w:cs="宋体"/>
        </w:rPr>
      </w:pPr>
      <w:r>
        <w:rPr>
          <w:rFonts w:hint="eastAsia" w:ascii="宋体" w:hAnsi="宋体" w:cs="宋体"/>
          <w:szCs w:val="21"/>
        </w:rPr>
        <w:t>▲</w:t>
      </w:r>
      <w:r>
        <w:rPr>
          <w:rFonts w:hint="eastAsia" w:ascii="宋体" w:hAnsi="宋体" w:cs="宋体"/>
        </w:rPr>
        <w:t>灵敏度：2 cps/(μSv/h)</w:t>
      </w:r>
    </w:p>
    <w:p>
      <w:pPr>
        <w:numPr>
          <w:ilvl w:val="2"/>
          <w:numId w:val="13"/>
        </w:numPr>
        <w:spacing w:line="360" w:lineRule="auto"/>
        <w:rPr>
          <w:rFonts w:ascii="宋体" w:hAnsi="宋体" w:cs="宋体"/>
        </w:rPr>
      </w:pPr>
      <w:r>
        <w:rPr>
          <w:rFonts w:hint="eastAsia" w:ascii="宋体" w:hAnsi="宋体" w:cs="宋体"/>
        </w:rPr>
        <w:t>读数误差：对Cs-137，读数误差一般在5%，最大不超过20%</w:t>
      </w:r>
    </w:p>
    <w:p>
      <w:pPr>
        <w:numPr>
          <w:ilvl w:val="2"/>
          <w:numId w:val="13"/>
        </w:numPr>
        <w:spacing w:line="360" w:lineRule="auto"/>
        <w:rPr>
          <w:rFonts w:ascii="宋体" w:hAnsi="宋体" w:cs="宋体"/>
        </w:rPr>
      </w:pPr>
      <w:r>
        <w:rPr>
          <w:rFonts w:hint="eastAsia" w:ascii="宋体" w:hAnsi="宋体" w:cs="宋体"/>
        </w:rPr>
        <w:t>声音报警：在30cm处，报警的声音≥80 dB (A)</w:t>
      </w:r>
    </w:p>
    <w:p>
      <w:pPr>
        <w:numPr>
          <w:ilvl w:val="2"/>
          <w:numId w:val="13"/>
        </w:numPr>
        <w:spacing w:line="360" w:lineRule="auto"/>
        <w:rPr>
          <w:rFonts w:ascii="宋体" w:hAnsi="宋体" w:cs="宋体"/>
        </w:rPr>
      </w:pPr>
      <w:r>
        <w:rPr>
          <w:rFonts w:hint="eastAsia" w:ascii="宋体" w:hAnsi="宋体" w:cs="宋体"/>
        </w:rPr>
        <w:t>显示：带背光的LCD显示屏；有模拟量的显示；有跨3个数量级对数坐标，并可自动选择量程</w:t>
      </w:r>
    </w:p>
    <w:p>
      <w:pPr>
        <w:numPr>
          <w:ilvl w:val="2"/>
          <w:numId w:val="13"/>
        </w:numPr>
        <w:spacing w:line="360" w:lineRule="auto"/>
        <w:rPr>
          <w:rFonts w:ascii="宋体" w:hAnsi="宋体" w:cs="宋体"/>
        </w:rPr>
      </w:pPr>
      <w:r>
        <w:rPr>
          <w:rFonts w:hint="eastAsia" w:ascii="宋体" w:hAnsi="宋体" w:cs="宋体"/>
          <w:szCs w:val="21"/>
        </w:rPr>
        <w:t>▲</w:t>
      </w:r>
      <w:r>
        <w:rPr>
          <w:rFonts w:hint="eastAsia" w:ascii="宋体" w:hAnsi="宋体" w:cs="宋体"/>
        </w:rPr>
        <w:t>电池寿命：使用两节标准的AA碱性电池，不连接探头时，使用时间≥250小时；当连接探头≥30小时</w:t>
      </w:r>
    </w:p>
    <w:p>
      <w:pPr>
        <w:numPr>
          <w:ilvl w:val="2"/>
          <w:numId w:val="13"/>
        </w:numPr>
        <w:spacing w:line="360" w:lineRule="auto"/>
        <w:rPr>
          <w:rFonts w:ascii="宋体" w:hAnsi="宋体" w:cs="宋体"/>
        </w:rPr>
      </w:pPr>
      <w:r>
        <w:rPr>
          <w:rFonts w:hint="eastAsia" w:ascii="宋体" w:hAnsi="宋体" w:cs="宋体"/>
        </w:rPr>
        <w:t>为避免在使用过程中，因为电池突然没电造成无法测量，必须具有电池自动检测功能，当电量低时，会出现闪动的图标提示用户及时更换电池</w:t>
      </w:r>
    </w:p>
    <w:p>
      <w:pPr>
        <w:numPr>
          <w:ilvl w:val="2"/>
          <w:numId w:val="13"/>
        </w:numPr>
        <w:spacing w:line="360" w:lineRule="auto"/>
        <w:rPr>
          <w:rFonts w:ascii="宋体" w:hAnsi="宋体" w:cs="宋体"/>
        </w:rPr>
      </w:pPr>
      <w:r>
        <w:rPr>
          <w:rFonts w:hint="eastAsia" w:ascii="宋体" w:hAnsi="宋体" w:cs="宋体"/>
        </w:rPr>
        <w:t>工作温度：-30℃~+55℃</w:t>
      </w:r>
    </w:p>
    <w:p>
      <w:pPr>
        <w:numPr>
          <w:ilvl w:val="2"/>
          <w:numId w:val="13"/>
        </w:numPr>
        <w:spacing w:line="360" w:lineRule="auto"/>
        <w:rPr>
          <w:rFonts w:ascii="宋体" w:hAnsi="宋体" w:cs="宋体"/>
        </w:rPr>
      </w:pPr>
      <w:r>
        <w:rPr>
          <w:rFonts w:hint="eastAsia" w:ascii="宋体" w:hAnsi="宋体" w:cs="宋体"/>
        </w:rPr>
        <w:t>工作湿度：10%~95%</w:t>
      </w:r>
    </w:p>
    <w:p>
      <w:pPr>
        <w:numPr>
          <w:ilvl w:val="2"/>
          <w:numId w:val="13"/>
        </w:numPr>
        <w:spacing w:line="360" w:lineRule="auto"/>
        <w:rPr>
          <w:rFonts w:ascii="宋体" w:hAnsi="宋体" w:cs="宋体"/>
        </w:rPr>
      </w:pPr>
      <w:r>
        <w:rPr>
          <w:rFonts w:hint="eastAsia" w:ascii="宋体" w:hAnsi="宋体" w:cs="宋体"/>
        </w:rPr>
        <w:t>防护等级：不低于IP 66</w:t>
      </w:r>
    </w:p>
    <w:p>
      <w:pPr>
        <w:numPr>
          <w:ilvl w:val="2"/>
          <w:numId w:val="13"/>
        </w:numPr>
        <w:spacing w:line="360" w:lineRule="auto"/>
        <w:rPr>
          <w:rFonts w:ascii="宋体" w:hAnsi="宋体" w:cs="宋体"/>
        </w:rPr>
      </w:pPr>
      <w:r>
        <w:rPr>
          <w:rFonts w:hint="eastAsia" w:ascii="宋体" w:hAnsi="宋体" w:cs="宋体"/>
        </w:rPr>
        <w:t>电磁兼容：符合标准IEC 1000-4-3，EN61000-4-3，10V/m，80 MHz – 1GHz</w:t>
      </w:r>
    </w:p>
    <w:p>
      <w:pPr>
        <w:numPr>
          <w:ilvl w:val="2"/>
          <w:numId w:val="13"/>
        </w:numPr>
        <w:spacing w:line="360" w:lineRule="auto"/>
        <w:rPr>
          <w:rFonts w:ascii="宋体" w:hAnsi="宋体" w:cs="宋体"/>
        </w:rPr>
      </w:pPr>
      <w:r>
        <w:rPr>
          <w:rFonts w:hint="eastAsia" w:ascii="宋体" w:hAnsi="宋体" w:cs="宋体"/>
        </w:rPr>
        <w:t>重量：≤410g，不包括电池重量</w:t>
      </w:r>
    </w:p>
    <w:p>
      <w:pPr>
        <w:numPr>
          <w:ilvl w:val="1"/>
          <w:numId w:val="13"/>
        </w:numPr>
        <w:spacing w:line="360" w:lineRule="auto"/>
        <w:rPr>
          <w:rFonts w:ascii="宋体" w:hAnsi="宋体" w:cs="宋体"/>
          <w:b/>
          <w:szCs w:val="21"/>
        </w:rPr>
      </w:pPr>
      <w:r>
        <w:rPr>
          <w:rFonts w:hint="eastAsia" w:ascii="宋体" w:hAnsi="宋体" w:cs="宋体"/>
          <w:b/>
          <w:szCs w:val="21"/>
        </w:rPr>
        <w:t>探头</w:t>
      </w:r>
    </w:p>
    <w:p>
      <w:pPr>
        <w:widowControl/>
        <w:snapToGrid w:val="0"/>
        <w:spacing w:line="360" w:lineRule="auto"/>
        <w:jc w:val="left"/>
        <w:rPr>
          <w:rFonts w:ascii="宋体" w:hAnsi="宋体" w:cs="宋体"/>
          <w:szCs w:val="21"/>
        </w:rPr>
      </w:pPr>
      <w:r>
        <w:rPr>
          <w:rFonts w:hint="eastAsia" w:ascii="宋体" w:hAnsi="宋体" w:cs="宋体"/>
          <w:szCs w:val="21"/>
        </w:rPr>
        <w:t>3.10.1</w:t>
      </w:r>
      <w:r>
        <w:rPr>
          <w:rFonts w:hint="eastAsia" w:ascii="宋体" w:hAnsi="宋体" w:cs="宋体"/>
          <w:szCs w:val="21"/>
        </w:rPr>
        <w:tab/>
      </w:r>
      <w:r>
        <w:rPr>
          <w:rFonts w:hint="eastAsia" w:ascii="宋体" w:hAnsi="宋体" w:cs="宋体"/>
          <w:szCs w:val="21"/>
        </w:rPr>
        <w:t>▲探头选用大体积的塑料闪烁体和碘化钠（NaI）结合的双探测器，其中的塑料闪烁体体积不小于0.5 L</w:t>
      </w:r>
    </w:p>
    <w:p>
      <w:pPr>
        <w:widowControl/>
        <w:snapToGrid w:val="0"/>
        <w:spacing w:line="360" w:lineRule="auto"/>
        <w:jc w:val="left"/>
        <w:rPr>
          <w:rFonts w:ascii="宋体" w:hAnsi="宋体" w:cs="宋体"/>
          <w:szCs w:val="21"/>
        </w:rPr>
      </w:pPr>
      <w:r>
        <w:rPr>
          <w:rFonts w:hint="eastAsia" w:ascii="宋体" w:hAnsi="宋体" w:cs="宋体"/>
          <w:szCs w:val="21"/>
        </w:rPr>
        <w:t>3.10.2</w:t>
      </w:r>
      <w:r>
        <w:rPr>
          <w:rFonts w:hint="eastAsia" w:ascii="宋体" w:hAnsi="宋体" w:cs="宋体"/>
          <w:szCs w:val="21"/>
        </w:rPr>
        <w:tab/>
      </w:r>
      <w:r>
        <w:rPr>
          <w:rFonts w:hint="eastAsia" w:ascii="宋体" w:hAnsi="宋体" w:cs="宋体"/>
          <w:szCs w:val="21"/>
        </w:rPr>
        <w:t>能量范围：40keV ~ 4.2MeV</w:t>
      </w:r>
    </w:p>
    <w:p>
      <w:pPr>
        <w:widowControl/>
        <w:snapToGrid w:val="0"/>
        <w:spacing w:line="360" w:lineRule="auto"/>
        <w:jc w:val="left"/>
        <w:rPr>
          <w:rFonts w:ascii="宋体" w:hAnsi="宋体" w:cs="宋体"/>
          <w:szCs w:val="21"/>
        </w:rPr>
      </w:pPr>
      <w:r>
        <w:rPr>
          <w:rFonts w:hint="eastAsia" w:ascii="宋体" w:hAnsi="宋体" w:cs="宋体"/>
          <w:szCs w:val="21"/>
        </w:rPr>
        <w:t>3.10.3</w:t>
      </w:r>
      <w:r>
        <w:rPr>
          <w:rFonts w:hint="eastAsia" w:ascii="宋体" w:hAnsi="宋体" w:cs="宋体"/>
          <w:szCs w:val="21"/>
        </w:rPr>
        <w:tab/>
      </w:r>
      <w:r>
        <w:rPr>
          <w:rFonts w:hint="eastAsia" w:ascii="宋体" w:hAnsi="宋体" w:cs="宋体"/>
          <w:szCs w:val="21"/>
        </w:rPr>
        <w:t>测量范围：1nSv/h ~ 100μSv/h</w:t>
      </w:r>
    </w:p>
    <w:p>
      <w:pPr>
        <w:widowControl/>
        <w:snapToGrid w:val="0"/>
        <w:spacing w:line="360" w:lineRule="auto"/>
        <w:jc w:val="left"/>
        <w:rPr>
          <w:rFonts w:ascii="宋体" w:hAnsi="宋体" w:cs="宋体"/>
          <w:szCs w:val="21"/>
        </w:rPr>
      </w:pPr>
      <w:r>
        <w:rPr>
          <w:rFonts w:hint="eastAsia" w:ascii="宋体" w:hAnsi="宋体" w:cs="宋体"/>
          <w:szCs w:val="21"/>
        </w:rPr>
        <w:t>3.10.4</w:t>
      </w:r>
      <w:r>
        <w:rPr>
          <w:rFonts w:hint="eastAsia" w:ascii="宋体" w:hAnsi="宋体" w:cs="宋体"/>
          <w:szCs w:val="21"/>
        </w:rPr>
        <w:tab/>
      </w:r>
      <w:r>
        <w:rPr>
          <w:rFonts w:hint="eastAsia" w:ascii="宋体" w:hAnsi="宋体" w:cs="宋体"/>
          <w:szCs w:val="21"/>
        </w:rPr>
        <w:t>灵敏度：对于Cs-137，不小于2000 cps/μSv/h</w:t>
      </w:r>
    </w:p>
    <w:p>
      <w:pPr>
        <w:widowControl/>
        <w:snapToGrid w:val="0"/>
        <w:spacing w:line="360" w:lineRule="auto"/>
        <w:jc w:val="left"/>
        <w:rPr>
          <w:rFonts w:ascii="宋体" w:hAnsi="宋体" w:cs="宋体"/>
          <w:szCs w:val="21"/>
        </w:rPr>
      </w:pPr>
      <w:r>
        <w:rPr>
          <w:rFonts w:hint="eastAsia" w:ascii="宋体" w:hAnsi="宋体" w:cs="宋体"/>
          <w:szCs w:val="21"/>
        </w:rPr>
        <w:t>3.10.5</w:t>
      </w:r>
      <w:r>
        <w:rPr>
          <w:rFonts w:hint="eastAsia" w:ascii="宋体" w:hAnsi="宋体" w:cs="宋体"/>
          <w:szCs w:val="21"/>
        </w:rPr>
        <w:tab/>
      </w:r>
      <w:r>
        <w:rPr>
          <w:rFonts w:hint="eastAsia" w:ascii="宋体" w:hAnsi="宋体" w:cs="宋体"/>
          <w:szCs w:val="21"/>
        </w:rPr>
        <w:t>▲满足JJG393-2018标准要求，在仪器有效测量范围内测试至少三个数量级，相对固有误差满足-15%~＋20%；</w:t>
      </w:r>
    </w:p>
    <w:p>
      <w:pPr>
        <w:widowControl/>
        <w:snapToGrid w:val="0"/>
        <w:spacing w:line="360" w:lineRule="auto"/>
        <w:jc w:val="left"/>
        <w:rPr>
          <w:rFonts w:ascii="宋体" w:hAnsi="宋体" w:cs="宋体"/>
          <w:szCs w:val="21"/>
        </w:rPr>
      </w:pPr>
      <w:r>
        <w:rPr>
          <w:rFonts w:hint="eastAsia" w:ascii="宋体" w:hAnsi="宋体" w:cs="宋体"/>
          <w:szCs w:val="21"/>
        </w:rPr>
        <w:t>3.10.6</w:t>
      </w:r>
      <w:r>
        <w:rPr>
          <w:rFonts w:hint="eastAsia" w:ascii="宋体" w:hAnsi="宋体" w:cs="宋体"/>
          <w:szCs w:val="21"/>
        </w:rPr>
        <w:tab/>
      </w:r>
      <w:r>
        <w:rPr>
          <w:rFonts w:hint="eastAsia" w:ascii="宋体" w:hAnsi="宋体" w:cs="宋体"/>
          <w:szCs w:val="21"/>
        </w:rPr>
        <w:t>▲能量响应在80keV~1.5MeV测试，满足-20%~＋40%，建议测量能响点为60keV、80keV、150keV和200KeV; </w:t>
      </w:r>
    </w:p>
    <w:p>
      <w:pPr>
        <w:widowControl/>
        <w:snapToGrid w:val="0"/>
        <w:spacing w:line="360" w:lineRule="auto"/>
        <w:jc w:val="left"/>
        <w:rPr>
          <w:rFonts w:ascii="宋体" w:hAnsi="宋体" w:cs="宋体"/>
          <w:szCs w:val="21"/>
        </w:rPr>
      </w:pPr>
      <w:r>
        <w:rPr>
          <w:rFonts w:hint="eastAsia" w:ascii="宋体" w:hAnsi="宋体" w:cs="宋体"/>
          <w:szCs w:val="21"/>
        </w:rPr>
        <w:t>3.10.7</w:t>
      </w:r>
      <w:r>
        <w:rPr>
          <w:rFonts w:hint="eastAsia" w:ascii="宋体" w:hAnsi="宋体" w:cs="宋体"/>
          <w:szCs w:val="21"/>
        </w:rPr>
        <w:tab/>
      </w:r>
      <w:r>
        <w:rPr>
          <w:rFonts w:hint="eastAsia" w:ascii="宋体" w:hAnsi="宋体" w:cs="宋体"/>
          <w:szCs w:val="21"/>
        </w:rPr>
        <w:t>▲提供法定检测机构出具的检定证书，证书必须包含X射线能量响应的检测数据；</w:t>
      </w:r>
    </w:p>
    <w:p>
      <w:pPr>
        <w:widowControl/>
        <w:snapToGrid w:val="0"/>
        <w:spacing w:line="360" w:lineRule="auto"/>
        <w:jc w:val="left"/>
        <w:rPr>
          <w:rFonts w:ascii="宋体" w:hAnsi="宋体" w:cs="宋体"/>
          <w:szCs w:val="21"/>
        </w:rPr>
      </w:pPr>
      <w:r>
        <w:rPr>
          <w:rFonts w:hint="eastAsia" w:ascii="宋体" w:hAnsi="宋体" w:cs="宋体"/>
          <w:szCs w:val="21"/>
        </w:rPr>
        <w:t>3.10.8</w:t>
      </w:r>
      <w:r>
        <w:rPr>
          <w:rFonts w:hint="eastAsia" w:ascii="宋体" w:hAnsi="宋体" w:cs="宋体"/>
          <w:szCs w:val="21"/>
        </w:rPr>
        <w:tab/>
      </w:r>
      <w:r>
        <w:rPr>
          <w:rFonts w:hint="eastAsia" w:ascii="宋体" w:hAnsi="宋体" w:cs="宋体"/>
          <w:szCs w:val="21"/>
        </w:rPr>
        <w:t>重量：≤4kg</w:t>
      </w:r>
    </w:p>
    <w:p>
      <w:pPr>
        <w:widowControl/>
        <w:snapToGrid w:val="0"/>
        <w:spacing w:line="360" w:lineRule="auto"/>
        <w:jc w:val="left"/>
        <w:rPr>
          <w:rFonts w:ascii="宋体" w:hAnsi="宋体" w:cs="宋体"/>
          <w:szCs w:val="21"/>
        </w:rPr>
      </w:pPr>
      <w:r>
        <w:rPr>
          <w:rFonts w:hint="eastAsia" w:ascii="宋体" w:hAnsi="宋体" w:cs="宋体"/>
          <w:szCs w:val="21"/>
        </w:rPr>
        <w:t>3.10.9</w:t>
      </w:r>
      <w:r>
        <w:rPr>
          <w:rFonts w:hint="eastAsia" w:ascii="宋体" w:hAnsi="宋体" w:cs="宋体"/>
          <w:szCs w:val="21"/>
        </w:rPr>
        <w:tab/>
      </w:r>
      <w:r>
        <w:rPr>
          <w:rFonts w:hint="eastAsia" w:ascii="宋体" w:hAnsi="宋体" w:cs="宋体"/>
          <w:szCs w:val="21"/>
        </w:rPr>
        <w:t xml:space="preserve">有LED指示灯，可指示测量状态 </w:t>
      </w:r>
    </w:p>
    <w:p>
      <w:pPr>
        <w:widowControl/>
        <w:numPr>
          <w:ilvl w:val="0"/>
          <w:numId w:val="13"/>
        </w:numPr>
        <w:snapToGrid w:val="0"/>
        <w:spacing w:line="360" w:lineRule="auto"/>
        <w:jc w:val="left"/>
        <w:rPr>
          <w:rFonts w:ascii="宋体" w:hAnsi="宋体" w:cs="宋体"/>
          <w:b/>
          <w:szCs w:val="21"/>
        </w:rPr>
      </w:pPr>
      <w:r>
        <w:rPr>
          <w:rFonts w:hint="eastAsia" w:ascii="宋体" w:hAnsi="宋体" w:cs="宋体"/>
          <w:b/>
          <w:szCs w:val="21"/>
        </w:rPr>
        <w:t>技术文件</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产品出厂质量合格检定证明文件</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★需提供厂家的代理授权书，或者由厂家授权总代理，再由总代理授权给竞选方</w:t>
      </w:r>
    </w:p>
    <w:p>
      <w:pPr>
        <w:widowControl/>
        <w:numPr>
          <w:ilvl w:val="0"/>
          <w:numId w:val="13"/>
        </w:numPr>
        <w:snapToGrid w:val="0"/>
        <w:spacing w:line="360" w:lineRule="auto"/>
        <w:jc w:val="left"/>
        <w:rPr>
          <w:rFonts w:ascii="宋体" w:hAnsi="宋体" w:cs="宋体"/>
          <w:b/>
          <w:szCs w:val="21"/>
        </w:rPr>
      </w:pPr>
      <w:r>
        <w:rPr>
          <w:rFonts w:hint="eastAsia" w:ascii="宋体" w:hAnsi="宋体" w:cs="宋体"/>
          <w:b/>
          <w:szCs w:val="21"/>
        </w:rPr>
        <w:t>技术服务</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保修</w:t>
      </w:r>
    </w:p>
    <w:p>
      <w:pPr>
        <w:widowControl/>
        <w:snapToGrid w:val="0"/>
        <w:spacing w:line="360" w:lineRule="auto"/>
        <w:ind w:firstLine="420" w:firstLineChars="200"/>
        <w:jc w:val="left"/>
        <w:rPr>
          <w:rFonts w:ascii="宋体" w:hAnsi="宋体" w:cs="宋体"/>
          <w:szCs w:val="21"/>
        </w:rPr>
      </w:pPr>
      <w:r>
        <w:rPr>
          <w:rFonts w:hint="eastAsia" w:ascii="宋体" w:hAnsi="宋体" w:cs="宋体"/>
          <w:szCs w:val="21"/>
        </w:rPr>
        <w:t xml:space="preserve">   要求由仪器制造厂提供至少一年免费保修服务，终生维修。</w:t>
      </w:r>
    </w:p>
    <w:p>
      <w:pPr>
        <w:widowControl/>
        <w:numPr>
          <w:ilvl w:val="1"/>
          <w:numId w:val="13"/>
        </w:numPr>
        <w:snapToGrid w:val="0"/>
        <w:spacing w:line="360" w:lineRule="auto"/>
        <w:ind w:left="709" w:hanging="709"/>
        <w:jc w:val="left"/>
        <w:rPr>
          <w:rFonts w:ascii="宋体" w:hAnsi="宋体" w:cs="宋体"/>
          <w:szCs w:val="21"/>
        </w:rPr>
      </w:pPr>
      <w:r>
        <w:rPr>
          <w:rFonts w:hint="eastAsia" w:ascii="宋体" w:hAnsi="宋体" w:cs="宋体"/>
          <w:szCs w:val="21"/>
        </w:rPr>
        <w:t>培训</w:t>
      </w:r>
    </w:p>
    <w:p>
      <w:pPr>
        <w:widowControl/>
        <w:snapToGrid w:val="0"/>
        <w:spacing w:line="360" w:lineRule="auto"/>
        <w:ind w:left="426" w:leftChars="202" w:hanging="2"/>
        <w:jc w:val="left"/>
        <w:rPr>
          <w:rFonts w:ascii="宋体" w:hAnsi="宋体" w:cs="宋体"/>
          <w:szCs w:val="21"/>
        </w:rPr>
      </w:pPr>
      <w:r>
        <w:rPr>
          <w:rFonts w:hint="eastAsia" w:ascii="宋体" w:hAnsi="宋体" w:cs="宋体"/>
          <w:szCs w:val="21"/>
        </w:rPr>
        <w:t xml:space="preserve">   原厂培训，为用户提供不低于10人1天有关仪器基本原理，仪器操作、设备维护、设备维修以及数据处理等方面的专业培训。</w:t>
      </w:r>
    </w:p>
    <w:p>
      <w:pPr>
        <w:pStyle w:val="7"/>
        <w:snapToGrid w:val="0"/>
        <w:spacing w:before="120" w:line="360" w:lineRule="auto"/>
        <w:ind w:firstLine="0" w:firstLineChars="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（二）</w:t>
      </w:r>
      <w:r>
        <w:rPr>
          <w:rFonts w:hint="eastAsia" w:asciiTheme="minorEastAsia" w:hAnsiTheme="minorEastAsia" w:eastAsiaTheme="minorEastAsia" w:cstheme="minorEastAsia"/>
          <w:b/>
          <w:sz w:val="21"/>
          <w:szCs w:val="21"/>
        </w:rPr>
        <w:t>α、β表面污染测量仪</w:t>
      </w:r>
    </w:p>
    <w:p>
      <w:pPr>
        <w:numPr>
          <w:ilvl w:val="0"/>
          <w:numId w:val="14"/>
        </w:numPr>
        <w:spacing w:line="360" w:lineRule="auto"/>
        <w:rPr>
          <w:rFonts w:ascii="宋体" w:hAnsi="宋体" w:cs="宋体"/>
          <w:b/>
          <w:szCs w:val="21"/>
        </w:rPr>
      </w:pPr>
      <w:r>
        <w:rPr>
          <w:rFonts w:hint="eastAsia" w:ascii="宋体" w:hAnsi="宋体" w:cs="宋体"/>
          <w:b/>
          <w:szCs w:val="21"/>
        </w:rPr>
        <w:t>用途</w:t>
      </w:r>
    </w:p>
    <w:p>
      <w:pPr>
        <w:spacing w:line="360" w:lineRule="auto"/>
        <w:rPr>
          <w:rFonts w:ascii="宋体" w:hAnsi="宋体" w:cs="宋体"/>
          <w:szCs w:val="21"/>
        </w:rPr>
      </w:pPr>
      <w:r>
        <w:rPr>
          <w:rFonts w:hint="eastAsia" w:ascii="宋体" w:hAnsi="宋体" w:cs="宋体"/>
          <w:szCs w:val="21"/>
        </w:rPr>
        <w:t>主要用于对放射性工作场所中设备、设施、放射性物质的容器、密封源、手、衣服、鞋等可能被α、β放射性核素污染的表面进行监测。</w:t>
      </w:r>
    </w:p>
    <w:p>
      <w:pPr>
        <w:numPr>
          <w:ilvl w:val="0"/>
          <w:numId w:val="14"/>
        </w:numPr>
        <w:spacing w:line="360" w:lineRule="auto"/>
        <w:rPr>
          <w:rFonts w:ascii="宋体" w:hAnsi="宋体" w:cs="宋体"/>
          <w:b/>
          <w:szCs w:val="21"/>
        </w:rPr>
      </w:pPr>
      <w:r>
        <w:rPr>
          <w:rFonts w:hint="eastAsia" w:ascii="宋体" w:hAnsi="宋体" w:cs="宋体"/>
          <w:b/>
          <w:szCs w:val="21"/>
        </w:rPr>
        <w:t>系统配置要求</w:t>
      </w:r>
    </w:p>
    <w:p>
      <w:pPr>
        <w:numPr>
          <w:ilvl w:val="1"/>
          <w:numId w:val="14"/>
        </w:numPr>
        <w:spacing w:line="360" w:lineRule="auto"/>
        <w:rPr>
          <w:rFonts w:ascii="宋体" w:hAnsi="宋体" w:cs="宋体"/>
          <w:szCs w:val="21"/>
        </w:rPr>
      </w:pPr>
      <w:r>
        <w:rPr>
          <w:rFonts w:hint="eastAsia" w:ascii="宋体" w:hAnsi="宋体" w:cs="宋体"/>
          <w:szCs w:val="21"/>
        </w:rPr>
        <w:t>表面污染仪主机,1台</w:t>
      </w:r>
    </w:p>
    <w:p>
      <w:pPr>
        <w:numPr>
          <w:ilvl w:val="1"/>
          <w:numId w:val="14"/>
        </w:numPr>
        <w:spacing w:line="360" w:lineRule="auto"/>
        <w:rPr>
          <w:rFonts w:ascii="宋体" w:hAnsi="宋体" w:cs="宋体"/>
          <w:szCs w:val="21"/>
        </w:rPr>
      </w:pPr>
      <w:r>
        <w:rPr>
          <w:rFonts w:hint="eastAsia" w:ascii="宋体" w:hAnsi="宋体" w:cs="宋体"/>
          <w:szCs w:val="21"/>
        </w:rPr>
        <w:t>便携箱，1个</w:t>
      </w:r>
    </w:p>
    <w:p>
      <w:pPr>
        <w:numPr>
          <w:ilvl w:val="1"/>
          <w:numId w:val="14"/>
        </w:numPr>
        <w:spacing w:line="360" w:lineRule="auto"/>
        <w:rPr>
          <w:rFonts w:ascii="宋体" w:hAnsi="宋体" w:cs="宋体"/>
          <w:szCs w:val="21"/>
        </w:rPr>
      </w:pPr>
      <w:r>
        <w:rPr>
          <w:rFonts w:hint="eastAsia" w:ascii="宋体" w:hAnsi="宋体" w:cs="宋体"/>
          <w:szCs w:val="21"/>
        </w:rPr>
        <w:t>其他必要附件</w:t>
      </w:r>
    </w:p>
    <w:p>
      <w:pPr>
        <w:numPr>
          <w:ilvl w:val="0"/>
          <w:numId w:val="14"/>
        </w:numPr>
        <w:spacing w:line="360" w:lineRule="auto"/>
        <w:rPr>
          <w:rFonts w:ascii="宋体" w:hAnsi="宋体" w:cs="宋体"/>
          <w:b/>
          <w:szCs w:val="21"/>
        </w:rPr>
      </w:pPr>
      <w:r>
        <w:rPr>
          <w:rFonts w:hint="eastAsia" w:ascii="宋体" w:hAnsi="宋体" w:cs="宋体"/>
          <w:b/>
          <w:szCs w:val="21"/>
        </w:rPr>
        <w:t>技术性能指标</w:t>
      </w:r>
    </w:p>
    <w:p>
      <w:pPr>
        <w:numPr>
          <w:ilvl w:val="1"/>
          <w:numId w:val="14"/>
        </w:numPr>
        <w:spacing w:line="360" w:lineRule="auto"/>
        <w:rPr>
          <w:rFonts w:ascii="宋体" w:hAnsi="宋体" w:cs="宋体"/>
          <w:szCs w:val="21"/>
        </w:rPr>
      </w:pPr>
      <w:r>
        <w:rPr>
          <w:rFonts w:hint="eastAsia" w:ascii="宋体" w:hAnsi="宋体" w:cs="宋体"/>
          <w:szCs w:val="21"/>
        </w:rPr>
        <w:t>薄层塑料闪烁体探测器，不用充气</w:t>
      </w:r>
    </w:p>
    <w:p>
      <w:pPr>
        <w:numPr>
          <w:ilvl w:val="1"/>
          <w:numId w:val="14"/>
        </w:numPr>
        <w:spacing w:line="360" w:lineRule="auto"/>
        <w:rPr>
          <w:rFonts w:ascii="宋体" w:hAnsi="宋体" w:cs="宋体"/>
          <w:szCs w:val="21"/>
        </w:rPr>
      </w:pPr>
      <w:r>
        <w:rPr>
          <w:rFonts w:hint="eastAsia" w:ascii="宋体" w:hAnsi="宋体" w:cs="宋体"/>
          <w:szCs w:val="21"/>
        </w:rPr>
        <w:t>可以对α、β、γ同时测量，测量数据储存并且可以传输到PC上</w:t>
      </w:r>
    </w:p>
    <w:p>
      <w:pPr>
        <w:numPr>
          <w:ilvl w:val="1"/>
          <w:numId w:val="14"/>
        </w:numPr>
        <w:spacing w:line="360" w:lineRule="auto"/>
        <w:rPr>
          <w:rFonts w:ascii="宋体" w:hAnsi="宋体" w:cs="宋体"/>
          <w:szCs w:val="21"/>
        </w:rPr>
      </w:pPr>
      <w:r>
        <w:rPr>
          <w:rFonts w:hint="eastAsia" w:ascii="宋体" w:hAnsi="宋体" w:cs="宋体"/>
          <w:szCs w:val="21"/>
        </w:rPr>
        <w:t>测量范围：α：测量下限不大于 0.1 cps；β / γ：测量下限不大于 25 cps</w:t>
      </w:r>
    </w:p>
    <w:p>
      <w:pPr>
        <w:numPr>
          <w:ilvl w:val="1"/>
          <w:numId w:val="14"/>
        </w:numPr>
        <w:spacing w:line="360" w:lineRule="auto"/>
        <w:rPr>
          <w:rFonts w:ascii="宋体" w:hAnsi="宋体" w:cs="宋体"/>
          <w:szCs w:val="21"/>
        </w:rPr>
      </w:pPr>
      <w:r>
        <w:rPr>
          <w:rFonts w:hint="eastAsia" w:ascii="宋体" w:hAnsi="宋体" w:cs="宋体"/>
          <w:szCs w:val="21"/>
        </w:rPr>
        <w:t>β、γ本底监视与补偿</w:t>
      </w:r>
    </w:p>
    <w:p>
      <w:pPr>
        <w:numPr>
          <w:ilvl w:val="1"/>
          <w:numId w:val="14"/>
        </w:numPr>
        <w:spacing w:line="360" w:lineRule="auto"/>
        <w:rPr>
          <w:rFonts w:ascii="宋体" w:hAnsi="宋体" w:cs="宋体"/>
          <w:szCs w:val="21"/>
        </w:rPr>
      </w:pPr>
      <w:r>
        <w:rPr>
          <w:rFonts w:hint="eastAsia" w:ascii="宋体" w:hAnsi="宋体" w:cs="宋体"/>
          <w:szCs w:val="21"/>
        </w:rPr>
        <w:t>在整个有效面积上探测不均匀度低于15%</w:t>
      </w:r>
    </w:p>
    <w:p>
      <w:pPr>
        <w:numPr>
          <w:ilvl w:val="1"/>
          <w:numId w:val="14"/>
        </w:numPr>
        <w:spacing w:line="360" w:lineRule="auto"/>
        <w:rPr>
          <w:rFonts w:ascii="宋体" w:hAnsi="宋体" w:cs="宋体"/>
          <w:szCs w:val="21"/>
        </w:rPr>
      </w:pPr>
      <w:r>
        <w:rPr>
          <w:rFonts w:hint="eastAsia" w:ascii="宋体" w:hAnsi="宋体" w:cs="宋体"/>
          <w:szCs w:val="21"/>
        </w:rPr>
        <w:t xml:space="preserve"> 7个可自由编辑的核素库</w:t>
      </w:r>
    </w:p>
    <w:p>
      <w:pPr>
        <w:numPr>
          <w:ilvl w:val="1"/>
          <w:numId w:val="14"/>
        </w:numPr>
        <w:spacing w:line="360" w:lineRule="auto"/>
        <w:rPr>
          <w:rFonts w:ascii="宋体" w:hAnsi="宋体" w:cs="宋体"/>
          <w:szCs w:val="21"/>
        </w:rPr>
      </w:pPr>
      <w:r>
        <w:rPr>
          <w:rFonts w:hint="eastAsia" w:ascii="宋体" w:hAnsi="宋体" w:cs="宋体"/>
          <w:szCs w:val="21"/>
        </w:rPr>
        <w:t>探测器：带有ZnS层的塑料闪烁体，</w:t>
      </w:r>
    </w:p>
    <w:p>
      <w:pPr>
        <w:numPr>
          <w:ilvl w:val="1"/>
          <w:numId w:val="14"/>
        </w:numPr>
        <w:spacing w:line="360" w:lineRule="auto"/>
        <w:rPr>
          <w:rFonts w:ascii="宋体" w:hAnsi="宋体" w:cs="宋体"/>
          <w:szCs w:val="21"/>
        </w:rPr>
      </w:pPr>
      <w:r>
        <w:rPr>
          <w:rFonts w:hint="eastAsia" w:ascii="宋体" w:hAnsi="宋体" w:cs="宋体"/>
          <w:szCs w:val="21"/>
        </w:rPr>
        <w:t>探测器尺寸：不小于170cm2</w:t>
      </w:r>
    </w:p>
    <w:p>
      <w:pPr>
        <w:numPr>
          <w:ilvl w:val="1"/>
          <w:numId w:val="14"/>
        </w:numPr>
        <w:spacing w:line="360" w:lineRule="auto"/>
        <w:rPr>
          <w:rFonts w:ascii="宋体" w:hAnsi="宋体" w:cs="宋体"/>
          <w:szCs w:val="21"/>
        </w:rPr>
      </w:pPr>
      <w:r>
        <w:rPr>
          <w:rFonts w:hint="eastAsia" w:ascii="宋体" w:hAnsi="宋体" w:cs="宋体"/>
          <w:szCs w:val="21"/>
        </w:rPr>
        <w:t>单 位：C/s、Bq或者Bq/cm2</w:t>
      </w:r>
    </w:p>
    <w:p>
      <w:pPr>
        <w:numPr>
          <w:ilvl w:val="1"/>
          <w:numId w:val="14"/>
        </w:numPr>
        <w:spacing w:line="360" w:lineRule="auto"/>
        <w:rPr>
          <w:rFonts w:ascii="宋体" w:hAnsi="宋体" w:cs="宋体"/>
          <w:szCs w:val="21"/>
        </w:rPr>
      </w:pPr>
      <w:r>
        <w:rPr>
          <w:rFonts w:hint="eastAsia" w:ascii="宋体" w:hAnsi="宋体" w:cs="宋体"/>
          <w:szCs w:val="21"/>
        </w:rPr>
        <w:t>阈 值：α、β的阈值可以选用c/s、Bq或Bq/cm2单位进行编程设置</w:t>
      </w:r>
    </w:p>
    <w:p>
      <w:pPr>
        <w:numPr>
          <w:ilvl w:val="1"/>
          <w:numId w:val="14"/>
        </w:numPr>
        <w:spacing w:line="360" w:lineRule="auto"/>
        <w:rPr>
          <w:rFonts w:ascii="宋体" w:hAnsi="宋体" w:cs="宋体"/>
          <w:szCs w:val="21"/>
        </w:rPr>
      </w:pPr>
      <w:r>
        <w:rPr>
          <w:rFonts w:hint="eastAsia" w:ascii="宋体" w:hAnsi="宋体" w:cs="宋体"/>
          <w:szCs w:val="21"/>
        </w:rPr>
        <w:t>效率(2π)： Cs-137，不小于35%；Am-241，不小于22%；U-238，不小于26%；90Sr+90Y  不小于45%</w:t>
      </w:r>
    </w:p>
    <w:p>
      <w:pPr>
        <w:numPr>
          <w:ilvl w:val="1"/>
          <w:numId w:val="14"/>
        </w:numPr>
        <w:spacing w:line="360" w:lineRule="auto"/>
        <w:rPr>
          <w:rFonts w:ascii="宋体" w:hAnsi="宋体" w:cs="宋体"/>
          <w:szCs w:val="21"/>
        </w:rPr>
      </w:pPr>
      <w:r>
        <w:rPr>
          <w:rFonts w:hint="eastAsia" w:ascii="宋体" w:hAnsi="宋体" w:cs="宋体"/>
          <w:szCs w:val="21"/>
        </w:rPr>
        <w:t>存储器：不小于700个数据，并且有打印功能(带时间记录)</w:t>
      </w:r>
    </w:p>
    <w:p>
      <w:pPr>
        <w:numPr>
          <w:ilvl w:val="1"/>
          <w:numId w:val="14"/>
        </w:numPr>
        <w:spacing w:line="360" w:lineRule="auto"/>
        <w:rPr>
          <w:rFonts w:ascii="宋体" w:hAnsi="宋体" w:cs="宋体"/>
          <w:szCs w:val="21"/>
        </w:rPr>
      </w:pPr>
      <w:r>
        <w:rPr>
          <w:rFonts w:hint="eastAsia" w:ascii="宋体" w:hAnsi="宋体" w:cs="宋体"/>
          <w:szCs w:val="21"/>
        </w:rPr>
        <w:t>显 示：大尺寸LCD显示，带背景灯，128×64像素</w:t>
      </w:r>
    </w:p>
    <w:p>
      <w:pPr>
        <w:numPr>
          <w:ilvl w:val="1"/>
          <w:numId w:val="14"/>
        </w:numPr>
        <w:spacing w:line="360" w:lineRule="auto"/>
        <w:rPr>
          <w:rFonts w:ascii="宋体" w:hAnsi="宋体" w:cs="宋体"/>
          <w:szCs w:val="21"/>
        </w:rPr>
      </w:pPr>
      <w:r>
        <w:rPr>
          <w:rFonts w:hint="eastAsia" w:ascii="宋体" w:hAnsi="宋体" w:cs="宋体"/>
          <w:szCs w:val="21"/>
        </w:rPr>
        <w:t>报警方式：声光报警等技术文件</w:t>
      </w:r>
    </w:p>
    <w:p>
      <w:pPr>
        <w:numPr>
          <w:ilvl w:val="0"/>
          <w:numId w:val="14"/>
        </w:numPr>
        <w:spacing w:line="360" w:lineRule="auto"/>
        <w:rPr>
          <w:rFonts w:ascii="宋体" w:hAnsi="宋体" w:cs="宋体"/>
          <w:b/>
          <w:szCs w:val="21"/>
        </w:rPr>
      </w:pPr>
      <w:r>
        <w:rPr>
          <w:rFonts w:hint="eastAsia" w:ascii="宋体" w:hAnsi="宋体" w:cs="宋体"/>
          <w:b/>
          <w:szCs w:val="21"/>
        </w:rPr>
        <w:t>产品及其附件的装箱清单</w:t>
      </w:r>
    </w:p>
    <w:p>
      <w:pPr>
        <w:numPr>
          <w:ilvl w:val="1"/>
          <w:numId w:val="14"/>
        </w:numPr>
        <w:spacing w:line="360" w:lineRule="auto"/>
        <w:rPr>
          <w:rFonts w:ascii="宋体" w:hAnsi="宋体" w:cs="宋体"/>
          <w:szCs w:val="21"/>
        </w:rPr>
      </w:pPr>
      <w:r>
        <w:rPr>
          <w:rFonts w:hint="eastAsia" w:ascii="宋体" w:hAnsi="宋体" w:cs="宋体"/>
          <w:szCs w:val="21"/>
        </w:rPr>
        <w:t>产品出厂质量合格检定证明文件</w:t>
      </w:r>
    </w:p>
    <w:p>
      <w:pPr>
        <w:numPr>
          <w:ilvl w:val="1"/>
          <w:numId w:val="14"/>
        </w:numPr>
        <w:spacing w:line="360" w:lineRule="auto"/>
        <w:rPr>
          <w:rFonts w:ascii="宋体" w:hAnsi="宋体" w:cs="宋体"/>
          <w:szCs w:val="21"/>
        </w:rPr>
      </w:pPr>
      <w:r>
        <w:rPr>
          <w:rFonts w:hint="eastAsia" w:ascii="宋体" w:hAnsi="宋体" w:cs="宋体"/>
          <w:szCs w:val="21"/>
        </w:rPr>
        <w:t>★需提供厂家的代理授权书，或者由厂家授权总代理，再由总代理授权给竞选方</w:t>
      </w:r>
    </w:p>
    <w:p>
      <w:pPr>
        <w:numPr>
          <w:ilvl w:val="0"/>
          <w:numId w:val="14"/>
        </w:numPr>
        <w:spacing w:line="360" w:lineRule="auto"/>
        <w:rPr>
          <w:rFonts w:ascii="宋体" w:hAnsi="宋体" w:cs="宋体"/>
          <w:b/>
          <w:szCs w:val="21"/>
        </w:rPr>
      </w:pPr>
      <w:r>
        <w:rPr>
          <w:rFonts w:hint="eastAsia" w:ascii="宋体" w:hAnsi="宋体" w:cs="宋体"/>
          <w:b/>
          <w:szCs w:val="21"/>
        </w:rPr>
        <w:t>技术服务</w:t>
      </w:r>
    </w:p>
    <w:p>
      <w:pPr>
        <w:widowControl/>
        <w:snapToGrid w:val="0"/>
        <w:spacing w:line="360" w:lineRule="auto"/>
        <w:jc w:val="left"/>
        <w:rPr>
          <w:rFonts w:ascii="宋体" w:hAnsi="宋体" w:cs="宋体"/>
          <w:szCs w:val="21"/>
        </w:rPr>
      </w:pPr>
      <w:r>
        <w:rPr>
          <w:rFonts w:hint="eastAsia" w:ascii="宋体" w:hAnsi="宋体" w:cs="宋体"/>
          <w:szCs w:val="21"/>
        </w:rPr>
        <w:t xml:space="preserve">5.1 </w:t>
      </w:r>
      <w:r>
        <w:rPr>
          <w:rFonts w:hint="eastAsia" w:ascii="宋体" w:hAnsi="宋体" w:cs="宋体"/>
          <w:szCs w:val="21"/>
        </w:rPr>
        <w:tab/>
      </w:r>
      <w:r>
        <w:rPr>
          <w:rFonts w:hint="eastAsia" w:ascii="宋体" w:hAnsi="宋体" w:cs="宋体"/>
          <w:szCs w:val="21"/>
        </w:rPr>
        <w:t>保修</w:t>
      </w:r>
    </w:p>
    <w:p>
      <w:pPr>
        <w:widowControl/>
        <w:snapToGrid w:val="0"/>
        <w:spacing w:line="360" w:lineRule="auto"/>
        <w:ind w:firstLine="420" w:firstLineChars="200"/>
        <w:jc w:val="left"/>
        <w:rPr>
          <w:rFonts w:ascii="宋体" w:hAnsi="宋体" w:cs="宋体"/>
          <w:szCs w:val="21"/>
        </w:rPr>
      </w:pPr>
      <w:r>
        <w:rPr>
          <w:rFonts w:hint="eastAsia" w:ascii="宋体" w:hAnsi="宋体" w:cs="宋体"/>
          <w:szCs w:val="21"/>
        </w:rPr>
        <w:t xml:space="preserve">   要求由仪器制造厂提供至少一年免费保修服务，终生维修。</w:t>
      </w:r>
    </w:p>
    <w:p>
      <w:pPr>
        <w:widowControl/>
        <w:snapToGrid w:val="0"/>
        <w:spacing w:line="360" w:lineRule="auto"/>
        <w:jc w:val="left"/>
        <w:rPr>
          <w:rFonts w:ascii="宋体" w:hAnsi="宋体" w:cs="宋体"/>
          <w:szCs w:val="21"/>
        </w:rPr>
      </w:pPr>
      <w:r>
        <w:rPr>
          <w:rFonts w:hint="eastAsia" w:ascii="宋体" w:hAnsi="宋体" w:cs="宋体"/>
          <w:szCs w:val="21"/>
        </w:rPr>
        <w:t xml:space="preserve">5.2 </w:t>
      </w:r>
      <w:r>
        <w:rPr>
          <w:rFonts w:hint="eastAsia" w:ascii="宋体" w:hAnsi="宋体" w:cs="宋体"/>
          <w:szCs w:val="21"/>
        </w:rPr>
        <w:tab/>
      </w:r>
      <w:r>
        <w:rPr>
          <w:rFonts w:hint="eastAsia" w:ascii="宋体" w:hAnsi="宋体" w:cs="宋体"/>
          <w:szCs w:val="21"/>
        </w:rPr>
        <w:t>培训</w:t>
      </w:r>
    </w:p>
    <w:p>
      <w:pPr>
        <w:widowControl/>
        <w:snapToGrid w:val="0"/>
        <w:spacing w:line="360" w:lineRule="auto"/>
        <w:ind w:left="426" w:leftChars="202" w:hanging="2"/>
        <w:jc w:val="left"/>
        <w:rPr>
          <w:rFonts w:ascii="宋体" w:hAnsi="宋体" w:cs="宋体"/>
          <w:szCs w:val="21"/>
        </w:rPr>
      </w:pPr>
      <w:r>
        <w:rPr>
          <w:rFonts w:hint="eastAsia" w:ascii="宋体" w:hAnsi="宋体" w:cs="宋体"/>
          <w:szCs w:val="21"/>
        </w:rPr>
        <w:t xml:space="preserve">   原厂培训，为用户提供不低于10人1天有关仪器基本原理，仪器操作、设备维护、设备维修以及数据处理等方面的专业培训。</w:t>
      </w:r>
    </w:p>
    <w:p>
      <w:pPr>
        <w:pStyle w:val="7"/>
        <w:snapToGrid w:val="0"/>
        <w:spacing w:before="120" w:line="360" w:lineRule="auto"/>
        <w:ind w:firstLine="0" w:firstLineChars="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bCs/>
          <w:sz w:val="21"/>
          <w:szCs w:val="21"/>
        </w:rPr>
        <w:t>（三）电磁辐射分析</w:t>
      </w:r>
      <w:r>
        <w:rPr>
          <w:rFonts w:hint="eastAsia" w:asciiTheme="minorEastAsia" w:hAnsiTheme="minorEastAsia" w:eastAsiaTheme="minorEastAsia" w:cstheme="minorEastAsia"/>
          <w:b/>
          <w:sz w:val="21"/>
          <w:szCs w:val="21"/>
        </w:rPr>
        <w:t>仪</w:t>
      </w:r>
    </w:p>
    <w:p>
      <w:pPr>
        <w:spacing w:line="360" w:lineRule="auto"/>
        <w:rPr>
          <w:rFonts w:ascii="宋体" w:hAnsi="宋体" w:cs="宋体"/>
          <w:b/>
          <w:szCs w:val="21"/>
        </w:rPr>
      </w:pPr>
      <w:r>
        <w:rPr>
          <w:rFonts w:hint="eastAsia" w:ascii="宋体" w:hAnsi="宋体" w:cs="宋体"/>
          <w:b/>
          <w:szCs w:val="21"/>
        </w:rPr>
        <w:t>1.</w:t>
      </w:r>
      <w:r>
        <w:rPr>
          <w:rFonts w:hint="eastAsia" w:ascii="宋体" w:hAnsi="宋体" w:cs="宋体"/>
          <w:b/>
          <w:szCs w:val="21"/>
        </w:rPr>
        <w:tab/>
      </w:r>
      <w:r>
        <w:rPr>
          <w:rFonts w:hint="eastAsia" w:ascii="宋体" w:hAnsi="宋体" w:cs="宋体"/>
          <w:b/>
          <w:szCs w:val="21"/>
        </w:rPr>
        <w:t>仪器用途</w:t>
      </w:r>
    </w:p>
    <w:p>
      <w:pPr>
        <w:spacing w:line="360" w:lineRule="auto"/>
        <w:rPr>
          <w:szCs w:val="21"/>
        </w:rPr>
      </w:pPr>
      <w:r>
        <w:rPr>
          <w:szCs w:val="21"/>
        </w:rPr>
        <w:t>该设备主要用于测量在可能存在高强度电磁场的工作环境中电场、磁场强度，相关的技术参数必须符合以下标准中的要求：</w:t>
      </w:r>
    </w:p>
    <w:p>
      <w:pPr>
        <w:spacing w:line="360" w:lineRule="auto"/>
        <w:rPr>
          <w:szCs w:val="21"/>
        </w:rPr>
      </w:pPr>
      <w:r>
        <w:rPr>
          <w:rFonts w:hint="eastAsia"/>
          <w:szCs w:val="21"/>
        </w:rPr>
        <w:t>《</w:t>
      </w:r>
      <w:r>
        <w:rPr>
          <w:szCs w:val="21"/>
        </w:rPr>
        <w:t>HJ/T10.2</w:t>
      </w:r>
      <w:r>
        <w:rPr>
          <w:rFonts w:hint="eastAsia"/>
          <w:szCs w:val="21"/>
        </w:rPr>
        <w:t>－</w:t>
      </w:r>
      <w:r>
        <w:rPr>
          <w:szCs w:val="21"/>
        </w:rPr>
        <w:t>1996</w:t>
      </w:r>
      <w:r>
        <w:rPr>
          <w:rFonts w:hint="eastAsia"/>
          <w:szCs w:val="21"/>
        </w:rPr>
        <w:t>电磁辐射监测仪器和方法》</w:t>
      </w:r>
    </w:p>
    <w:p>
      <w:pPr>
        <w:spacing w:line="360" w:lineRule="auto"/>
        <w:rPr>
          <w:szCs w:val="21"/>
        </w:rPr>
      </w:pPr>
      <w:r>
        <w:rPr>
          <w:rFonts w:hint="eastAsia"/>
          <w:szCs w:val="21"/>
        </w:rPr>
        <w:t>《</w:t>
      </w:r>
      <w:r>
        <w:rPr>
          <w:szCs w:val="21"/>
        </w:rPr>
        <w:t>HJ/T10.3</w:t>
      </w:r>
      <w:r>
        <w:rPr>
          <w:rFonts w:hint="eastAsia"/>
          <w:szCs w:val="21"/>
        </w:rPr>
        <w:t>－</w:t>
      </w:r>
      <w:r>
        <w:rPr>
          <w:szCs w:val="21"/>
        </w:rPr>
        <w:t>1996</w:t>
      </w:r>
      <w:r>
        <w:rPr>
          <w:rFonts w:hint="eastAsia"/>
          <w:szCs w:val="21"/>
        </w:rPr>
        <w:t>电磁辐射环境影响评价方法与标准》</w:t>
      </w:r>
    </w:p>
    <w:p>
      <w:pPr>
        <w:spacing w:line="360" w:lineRule="auto"/>
        <w:rPr>
          <w:szCs w:val="21"/>
        </w:rPr>
      </w:pPr>
      <w:r>
        <w:rPr>
          <w:rFonts w:hint="eastAsia"/>
          <w:szCs w:val="21"/>
        </w:rPr>
        <w:t>《</w:t>
      </w:r>
      <w:r>
        <w:rPr>
          <w:szCs w:val="21"/>
        </w:rPr>
        <w:t>GB8702-2014</w:t>
      </w:r>
      <w:r>
        <w:rPr>
          <w:rFonts w:hint="eastAsia"/>
          <w:szCs w:val="21"/>
        </w:rPr>
        <w:t>中华人民共和国电磁环境控制限制》</w:t>
      </w:r>
    </w:p>
    <w:p>
      <w:pPr>
        <w:spacing w:line="360" w:lineRule="auto"/>
        <w:rPr>
          <w:szCs w:val="21"/>
        </w:rPr>
      </w:pPr>
      <w:r>
        <w:rPr>
          <w:rFonts w:hint="eastAsia"/>
          <w:szCs w:val="21"/>
        </w:rPr>
        <w:t>《</w:t>
      </w:r>
      <w:r>
        <w:rPr>
          <w:szCs w:val="21"/>
        </w:rPr>
        <w:t>HJ681-2014</w:t>
      </w:r>
      <w:r>
        <w:rPr>
          <w:rFonts w:hint="eastAsia"/>
          <w:szCs w:val="21"/>
        </w:rPr>
        <w:t>交流输变电工程电磁辐射监测方法》</w:t>
      </w:r>
    </w:p>
    <w:p>
      <w:pPr>
        <w:spacing w:line="360" w:lineRule="auto"/>
        <w:rPr>
          <w:szCs w:val="21"/>
        </w:rPr>
      </w:pPr>
      <w:r>
        <w:rPr>
          <w:rFonts w:hint="eastAsia"/>
          <w:szCs w:val="21"/>
        </w:rPr>
        <w:t>《</w:t>
      </w:r>
      <w:r>
        <w:rPr>
          <w:szCs w:val="21"/>
        </w:rPr>
        <w:t xml:space="preserve">HJ972-2018 </w:t>
      </w:r>
      <w:r>
        <w:rPr>
          <w:rFonts w:hint="eastAsia"/>
          <w:szCs w:val="21"/>
        </w:rPr>
        <w:t>移动通信基站电磁辐射环境监测方法》</w:t>
      </w:r>
    </w:p>
    <w:p>
      <w:pPr>
        <w:spacing w:line="360" w:lineRule="auto"/>
        <w:rPr>
          <w:szCs w:val="21"/>
        </w:rPr>
      </w:pPr>
      <w:r>
        <w:rPr>
          <w:rFonts w:hint="eastAsia"/>
          <w:szCs w:val="21"/>
        </w:rPr>
        <w:t>《GBZ/T189.1-2007工作场所物理因素测量第1部分：超高频辐射》</w:t>
      </w:r>
    </w:p>
    <w:p>
      <w:pPr>
        <w:spacing w:line="360" w:lineRule="auto"/>
        <w:rPr>
          <w:szCs w:val="21"/>
        </w:rPr>
      </w:pPr>
      <w:bookmarkStart w:id="194" w:name="_Hlk5280791"/>
      <w:r>
        <w:rPr>
          <w:rFonts w:hint="eastAsia"/>
          <w:szCs w:val="21"/>
        </w:rPr>
        <w:t>《GBZ/T 189.3-2018工作场所物理因素测量 第3部分：1Hz~100kHz电场和磁场》</w:t>
      </w:r>
      <w:bookmarkEnd w:id="194"/>
    </w:p>
    <w:p>
      <w:pPr>
        <w:spacing w:line="360" w:lineRule="auto"/>
        <w:rPr>
          <w:rFonts w:ascii="宋体" w:hAnsi="宋体" w:cs="宋体"/>
          <w:b/>
          <w:szCs w:val="21"/>
        </w:rPr>
      </w:pPr>
      <w:r>
        <w:rPr>
          <w:rFonts w:hint="eastAsia" w:ascii="宋体" w:hAnsi="宋体" w:cs="宋体"/>
          <w:b/>
          <w:szCs w:val="21"/>
        </w:rPr>
        <w:t>2.</w:t>
      </w:r>
      <w:r>
        <w:rPr>
          <w:rFonts w:hint="eastAsia" w:ascii="宋体" w:hAnsi="宋体" w:cs="宋体"/>
          <w:b/>
          <w:szCs w:val="21"/>
        </w:rPr>
        <w:tab/>
      </w:r>
      <w:r>
        <w:rPr>
          <w:rFonts w:hint="eastAsia" w:ascii="宋体" w:hAnsi="宋体" w:cs="宋体"/>
          <w:b/>
          <w:szCs w:val="21"/>
        </w:rPr>
        <w:t>仪器配置</w:t>
      </w:r>
    </w:p>
    <w:p>
      <w:pPr>
        <w:pStyle w:val="23"/>
        <w:spacing w:line="360" w:lineRule="auto"/>
        <w:ind w:firstLine="0" w:firstLineChars="0"/>
        <w:rPr>
          <w:szCs w:val="21"/>
        </w:rPr>
      </w:pPr>
      <w:r>
        <w:rPr>
          <w:rFonts w:hint="eastAsia"/>
          <w:szCs w:val="21"/>
        </w:rPr>
        <w:t>2.1</w:t>
      </w:r>
      <w:r>
        <w:rPr>
          <w:rFonts w:hint="eastAsia"/>
          <w:szCs w:val="21"/>
        </w:rPr>
        <w:tab/>
      </w:r>
      <w:r>
        <w:rPr>
          <w:szCs w:val="21"/>
        </w:rPr>
        <w:t>主机</w:t>
      </w:r>
      <w:r>
        <w:rPr>
          <w:rFonts w:hint="eastAsia"/>
          <w:szCs w:val="21"/>
        </w:rPr>
        <w:t>，</w:t>
      </w:r>
      <w:r>
        <w:rPr>
          <w:szCs w:val="21"/>
        </w:rPr>
        <w:t>1台</w:t>
      </w:r>
    </w:p>
    <w:p>
      <w:pPr>
        <w:pStyle w:val="23"/>
        <w:spacing w:line="360" w:lineRule="auto"/>
        <w:ind w:firstLine="0" w:firstLineChars="0"/>
        <w:rPr>
          <w:szCs w:val="21"/>
        </w:rPr>
      </w:pPr>
      <w:r>
        <w:rPr>
          <w:rFonts w:hint="eastAsia"/>
          <w:szCs w:val="21"/>
        </w:rPr>
        <w:t>2.2</w:t>
      </w:r>
      <w:r>
        <w:rPr>
          <w:rFonts w:hint="eastAsia"/>
          <w:szCs w:val="21"/>
        </w:rPr>
        <w:tab/>
      </w:r>
      <w:r>
        <w:rPr>
          <w:szCs w:val="21"/>
        </w:rPr>
        <w:t>射频探头</w:t>
      </w:r>
      <w:r>
        <w:rPr>
          <w:rFonts w:hint="eastAsia"/>
          <w:szCs w:val="21"/>
        </w:rPr>
        <w:t>，</w:t>
      </w:r>
      <w:r>
        <w:rPr>
          <w:szCs w:val="21"/>
        </w:rPr>
        <w:t>1</w:t>
      </w:r>
      <w:r>
        <w:rPr>
          <w:rFonts w:hint="eastAsia"/>
          <w:szCs w:val="21"/>
        </w:rPr>
        <w:t>个</w:t>
      </w:r>
    </w:p>
    <w:p>
      <w:pPr>
        <w:pStyle w:val="23"/>
        <w:spacing w:line="360" w:lineRule="auto"/>
        <w:ind w:firstLine="0" w:firstLineChars="0"/>
        <w:rPr>
          <w:szCs w:val="21"/>
        </w:rPr>
      </w:pPr>
      <w:r>
        <w:rPr>
          <w:rFonts w:hint="eastAsia"/>
          <w:szCs w:val="21"/>
        </w:rPr>
        <w:t>2.3</w:t>
      </w:r>
      <w:r>
        <w:rPr>
          <w:rFonts w:hint="eastAsia"/>
          <w:szCs w:val="21"/>
        </w:rPr>
        <w:tab/>
      </w:r>
      <w:r>
        <w:rPr>
          <w:rFonts w:hint="eastAsia"/>
          <w:szCs w:val="21"/>
        </w:rPr>
        <w:t>低频电磁辐射测量仪</w:t>
      </w:r>
      <w:r>
        <w:rPr>
          <w:szCs w:val="21"/>
        </w:rPr>
        <w:t>，</w:t>
      </w:r>
      <w:r>
        <w:rPr>
          <w:rFonts w:hint="eastAsia"/>
          <w:szCs w:val="21"/>
        </w:rPr>
        <w:t>1个</w:t>
      </w:r>
    </w:p>
    <w:p>
      <w:pPr>
        <w:pStyle w:val="23"/>
        <w:spacing w:line="360" w:lineRule="auto"/>
        <w:ind w:firstLine="0" w:firstLineChars="0"/>
        <w:rPr>
          <w:szCs w:val="21"/>
        </w:rPr>
      </w:pPr>
      <w:r>
        <w:rPr>
          <w:rFonts w:hint="eastAsia"/>
          <w:szCs w:val="21"/>
        </w:rPr>
        <w:t>2.4</w:t>
      </w:r>
      <w:r>
        <w:rPr>
          <w:rFonts w:hint="eastAsia"/>
          <w:szCs w:val="21"/>
        </w:rPr>
        <w:tab/>
      </w:r>
      <w:r>
        <w:rPr>
          <w:rFonts w:hint="eastAsia"/>
          <w:szCs w:val="21"/>
        </w:rPr>
        <w:t>不小于5m的光纤，1根</w:t>
      </w:r>
    </w:p>
    <w:p>
      <w:pPr>
        <w:pStyle w:val="23"/>
        <w:spacing w:line="360" w:lineRule="auto"/>
        <w:ind w:firstLine="0" w:firstLineChars="0"/>
        <w:rPr>
          <w:szCs w:val="21"/>
        </w:rPr>
      </w:pPr>
      <w:r>
        <w:rPr>
          <w:rFonts w:hint="eastAsia"/>
          <w:szCs w:val="21"/>
        </w:rPr>
        <w:t>2.5</w:t>
      </w:r>
      <w:r>
        <w:rPr>
          <w:rFonts w:hint="eastAsia"/>
          <w:szCs w:val="21"/>
        </w:rPr>
        <w:tab/>
      </w:r>
      <w:r>
        <w:rPr>
          <w:szCs w:val="21"/>
        </w:rPr>
        <w:t>便携箱</w:t>
      </w:r>
      <w:r>
        <w:rPr>
          <w:rFonts w:hint="eastAsia"/>
          <w:szCs w:val="21"/>
        </w:rPr>
        <w:t>，</w:t>
      </w:r>
      <w:r>
        <w:rPr>
          <w:szCs w:val="21"/>
        </w:rPr>
        <w:t>1个</w:t>
      </w:r>
    </w:p>
    <w:p>
      <w:pPr>
        <w:pStyle w:val="23"/>
        <w:spacing w:line="360" w:lineRule="auto"/>
        <w:ind w:firstLine="0" w:firstLineChars="0"/>
        <w:rPr>
          <w:szCs w:val="21"/>
        </w:rPr>
      </w:pPr>
      <w:r>
        <w:rPr>
          <w:rFonts w:hint="eastAsia"/>
          <w:szCs w:val="21"/>
        </w:rPr>
        <w:t>2.6</w:t>
      </w:r>
      <w:r>
        <w:rPr>
          <w:rFonts w:hint="eastAsia"/>
          <w:szCs w:val="21"/>
        </w:rPr>
        <w:tab/>
      </w:r>
      <w:r>
        <w:rPr>
          <w:szCs w:val="21"/>
        </w:rPr>
        <w:t>管理软件</w:t>
      </w:r>
      <w:r>
        <w:rPr>
          <w:rFonts w:hint="eastAsia"/>
          <w:szCs w:val="21"/>
        </w:rPr>
        <w:t>，</w:t>
      </w:r>
      <w:r>
        <w:rPr>
          <w:szCs w:val="21"/>
        </w:rPr>
        <w:t>1套</w:t>
      </w:r>
    </w:p>
    <w:p>
      <w:pPr>
        <w:spacing w:line="360" w:lineRule="auto"/>
        <w:rPr>
          <w:rFonts w:ascii="宋体" w:hAnsi="宋体" w:cs="宋体"/>
          <w:b/>
          <w:szCs w:val="21"/>
        </w:rPr>
      </w:pPr>
      <w:r>
        <w:rPr>
          <w:rFonts w:hint="eastAsia" w:ascii="宋体" w:hAnsi="宋体" w:cs="宋体"/>
          <w:b/>
          <w:szCs w:val="21"/>
        </w:rPr>
        <w:t>3.</w:t>
      </w:r>
      <w:r>
        <w:rPr>
          <w:rFonts w:hint="eastAsia" w:ascii="宋体" w:hAnsi="宋体" w:cs="宋体"/>
          <w:b/>
          <w:szCs w:val="21"/>
        </w:rPr>
        <w:tab/>
      </w:r>
      <w:r>
        <w:rPr>
          <w:rFonts w:hint="eastAsia" w:ascii="宋体" w:hAnsi="宋体" w:cs="宋体"/>
          <w:b/>
          <w:szCs w:val="21"/>
        </w:rPr>
        <w:t>技术参数</w:t>
      </w:r>
    </w:p>
    <w:p>
      <w:pPr>
        <w:pStyle w:val="23"/>
        <w:spacing w:line="360" w:lineRule="auto"/>
        <w:ind w:firstLine="0" w:firstLineChars="0"/>
        <w:rPr>
          <w:b/>
          <w:szCs w:val="21"/>
        </w:rPr>
      </w:pPr>
      <w:r>
        <w:rPr>
          <w:rFonts w:hint="eastAsia"/>
          <w:b/>
          <w:szCs w:val="21"/>
        </w:rPr>
        <w:t>3.1</w:t>
      </w:r>
      <w:r>
        <w:rPr>
          <w:rFonts w:hint="eastAsia"/>
          <w:b/>
          <w:szCs w:val="21"/>
        </w:rPr>
        <w:tab/>
      </w:r>
      <w:r>
        <w:rPr>
          <w:b/>
          <w:szCs w:val="21"/>
        </w:rPr>
        <w:t>电磁辐射分析仪主机</w:t>
      </w:r>
    </w:p>
    <w:p>
      <w:pPr>
        <w:pStyle w:val="23"/>
        <w:numPr>
          <w:ilvl w:val="0"/>
          <w:numId w:val="15"/>
        </w:numPr>
        <w:snapToGrid w:val="0"/>
        <w:spacing w:line="360" w:lineRule="auto"/>
        <w:ind w:left="720" w:hanging="720" w:firstLineChars="0"/>
        <w:rPr>
          <w:szCs w:val="21"/>
        </w:rPr>
      </w:pPr>
      <w:r>
        <w:rPr>
          <w:rFonts w:hint="eastAsia" w:ascii="宋体" w:hAnsi="宋体" w:cs="宋体"/>
          <w:szCs w:val="21"/>
        </w:rPr>
        <w:t>▲</w:t>
      </w:r>
      <w:r>
        <w:rPr>
          <w:szCs w:val="21"/>
        </w:rPr>
        <w:t>主机测量频率覆盖：最低频率≤1Hz，最高频率≥</w:t>
      </w:r>
      <w:r>
        <w:rPr>
          <w:rFonts w:hint="eastAsia"/>
          <w:szCs w:val="21"/>
        </w:rPr>
        <w:t>80</w:t>
      </w:r>
      <w:r>
        <w:rPr>
          <w:szCs w:val="21"/>
        </w:rPr>
        <w:t>GHz</w:t>
      </w:r>
      <w:r>
        <w:rPr>
          <w:rFonts w:hint="eastAsia"/>
          <w:szCs w:val="21"/>
        </w:rPr>
        <w:t>（需提供具有8</w:t>
      </w:r>
      <w:r>
        <w:rPr>
          <w:szCs w:val="21"/>
        </w:rPr>
        <w:t>0</w:t>
      </w:r>
      <w:r>
        <w:rPr>
          <w:rFonts w:hint="eastAsia"/>
          <w:szCs w:val="21"/>
        </w:rPr>
        <w:t>GHz以上探头的产品彩页）；</w:t>
      </w:r>
      <w:bookmarkStart w:id="511" w:name="_GoBack"/>
      <w:bookmarkEnd w:id="511"/>
    </w:p>
    <w:p>
      <w:pPr>
        <w:pStyle w:val="23"/>
        <w:numPr>
          <w:ilvl w:val="0"/>
          <w:numId w:val="15"/>
        </w:numPr>
        <w:snapToGrid w:val="0"/>
        <w:spacing w:line="360" w:lineRule="auto"/>
        <w:ind w:left="720" w:hanging="720" w:firstLineChars="0"/>
        <w:rPr>
          <w:szCs w:val="21"/>
        </w:rPr>
      </w:pPr>
      <w:r>
        <w:rPr>
          <w:rFonts w:hint="eastAsia" w:ascii="宋体" w:hAnsi="宋体" w:cs="宋体"/>
          <w:szCs w:val="21"/>
        </w:rPr>
        <w:t>▲</w:t>
      </w:r>
      <w:r>
        <w:rPr>
          <w:szCs w:val="21"/>
        </w:rPr>
        <w:t>显示屏：</w:t>
      </w:r>
      <w:r>
        <w:rPr>
          <w:rFonts w:hint="eastAsia"/>
          <w:szCs w:val="21"/>
        </w:rPr>
        <w:t>尺寸</w:t>
      </w:r>
      <w:r>
        <w:rPr>
          <w:szCs w:val="21"/>
        </w:rPr>
        <w:t>不小于4英寸</w:t>
      </w:r>
      <w:r>
        <w:rPr>
          <w:rFonts w:hint="eastAsia"/>
          <w:szCs w:val="21"/>
        </w:rPr>
        <w:t>的高对比度黑白双色显示屏（非彩色屏），</w:t>
      </w:r>
      <w:r>
        <w:rPr>
          <w:szCs w:val="21"/>
        </w:rPr>
        <w:t>在强光下仍能轻松读取数据</w:t>
      </w:r>
    </w:p>
    <w:p>
      <w:pPr>
        <w:pStyle w:val="23"/>
        <w:numPr>
          <w:ilvl w:val="0"/>
          <w:numId w:val="15"/>
        </w:numPr>
        <w:snapToGrid w:val="0"/>
        <w:spacing w:line="360" w:lineRule="auto"/>
        <w:ind w:left="720" w:hanging="720" w:firstLineChars="0"/>
        <w:rPr>
          <w:szCs w:val="21"/>
        </w:rPr>
      </w:pPr>
      <w:r>
        <w:rPr>
          <w:szCs w:val="21"/>
        </w:rPr>
        <w:t>多语言操作界面，至少提供中文与英文两种语言。</w:t>
      </w:r>
      <w:r>
        <w:rPr>
          <w:rFonts w:hint="eastAsia"/>
          <w:szCs w:val="21"/>
        </w:rPr>
        <w:t>（提供中、英文界面截图等证明材料）</w:t>
      </w:r>
      <w:r>
        <w:rPr>
          <w:szCs w:val="21"/>
        </w:rPr>
        <w:t>；</w:t>
      </w:r>
    </w:p>
    <w:p>
      <w:pPr>
        <w:pStyle w:val="23"/>
        <w:numPr>
          <w:ilvl w:val="0"/>
          <w:numId w:val="15"/>
        </w:numPr>
        <w:snapToGrid w:val="0"/>
        <w:spacing w:line="360" w:lineRule="auto"/>
        <w:ind w:left="720" w:hanging="720" w:firstLineChars="0"/>
        <w:rPr>
          <w:szCs w:val="21"/>
        </w:rPr>
      </w:pPr>
      <w:r>
        <w:rPr>
          <w:szCs w:val="21"/>
        </w:rPr>
        <w:t>结果类型：实时值、最小值、最大值、平均值、最大平均值（以上结果类型需为RMS结果，符合GB8702-2014要求）</w:t>
      </w:r>
    </w:p>
    <w:p>
      <w:pPr>
        <w:pStyle w:val="23"/>
        <w:numPr>
          <w:ilvl w:val="0"/>
          <w:numId w:val="15"/>
        </w:numPr>
        <w:snapToGrid w:val="0"/>
        <w:spacing w:line="360" w:lineRule="auto"/>
        <w:ind w:left="720" w:hanging="720" w:firstLineChars="0"/>
        <w:rPr>
          <w:szCs w:val="21"/>
        </w:rPr>
      </w:pPr>
      <w:r>
        <w:rPr>
          <w:rFonts w:hint="eastAsia" w:ascii="宋体" w:hAnsi="宋体" w:cs="宋体"/>
          <w:szCs w:val="21"/>
        </w:rPr>
        <w:t>▲</w:t>
      </w:r>
      <w:r>
        <w:rPr>
          <w:szCs w:val="21"/>
        </w:rPr>
        <w:t>主机具有多功能特性，方便今后应用的扩展。支持多种类型的探头：支持工频电磁场探头、射频电场探头（半导体传感器和热电偶传感器）。提供可支持热电偶射频电场探头（最高频率不低于40GHz）的证明材料（彩页和第三方计量报告）</w:t>
      </w:r>
    </w:p>
    <w:p>
      <w:pPr>
        <w:pStyle w:val="23"/>
        <w:numPr>
          <w:ilvl w:val="0"/>
          <w:numId w:val="15"/>
        </w:numPr>
        <w:snapToGrid w:val="0"/>
        <w:spacing w:line="360" w:lineRule="auto"/>
        <w:ind w:left="720" w:hanging="720" w:firstLineChars="0"/>
        <w:rPr>
          <w:szCs w:val="21"/>
        </w:rPr>
      </w:pPr>
      <w:r>
        <w:rPr>
          <w:szCs w:val="21"/>
        </w:rPr>
        <w:t>测量单位：V/m， A/m，mW/cm2， W/m2， % (计权模式)</w:t>
      </w:r>
    </w:p>
    <w:p>
      <w:pPr>
        <w:pStyle w:val="23"/>
        <w:numPr>
          <w:ilvl w:val="0"/>
          <w:numId w:val="15"/>
        </w:numPr>
        <w:snapToGrid w:val="0"/>
        <w:spacing w:line="360" w:lineRule="auto"/>
        <w:ind w:left="720" w:hanging="720" w:firstLineChars="0"/>
        <w:rPr>
          <w:szCs w:val="21"/>
        </w:rPr>
      </w:pPr>
      <w:r>
        <w:rPr>
          <w:szCs w:val="21"/>
        </w:rPr>
        <w:t>报警功能：用户可自定义报警限值，并且发出声音告警</w:t>
      </w:r>
    </w:p>
    <w:p>
      <w:pPr>
        <w:pStyle w:val="23"/>
        <w:numPr>
          <w:ilvl w:val="0"/>
          <w:numId w:val="15"/>
        </w:numPr>
        <w:snapToGrid w:val="0"/>
        <w:spacing w:line="360" w:lineRule="auto"/>
        <w:ind w:left="720" w:hanging="720" w:firstLineChars="0"/>
        <w:rPr>
          <w:szCs w:val="21"/>
        </w:rPr>
      </w:pPr>
      <w:r>
        <w:rPr>
          <w:szCs w:val="21"/>
        </w:rPr>
        <w:t>具有敏感区域声音报警搜寻功能</w:t>
      </w:r>
    </w:p>
    <w:p>
      <w:pPr>
        <w:pStyle w:val="23"/>
        <w:numPr>
          <w:ilvl w:val="0"/>
          <w:numId w:val="15"/>
        </w:numPr>
        <w:snapToGrid w:val="0"/>
        <w:spacing w:line="360" w:lineRule="auto"/>
        <w:ind w:left="720" w:hanging="720" w:firstLineChars="0"/>
        <w:rPr>
          <w:szCs w:val="21"/>
        </w:rPr>
      </w:pPr>
      <w:r>
        <w:rPr>
          <w:rFonts w:hint="eastAsia"/>
          <w:szCs w:val="21"/>
        </w:rPr>
        <w:t>支持USB接口和光纤接口通讯</w:t>
      </w:r>
    </w:p>
    <w:p>
      <w:pPr>
        <w:pStyle w:val="23"/>
        <w:numPr>
          <w:ilvl w:val="0"/>
          <w:numId w:val="15"/>
        </w:numPr>
        <w:snapToGrid w:val="0"/>
        <w:spacing w:line="360" w:lineRule="auto"/>
        <w:ind w:firstLineChars="0"/>
        <w:rPr>
          <w:szCs w:val="21"/>
        </w:rPr>
      </w:pPr>
      <w:r>
        <w:rPr>
          <w:rFonts w:hint="eastAsia"/>
          <w:szCs w:val="21"/>
        </w:rPr>
        <w:t>软件功能要求</w:t>
      </w:r>
    </w:p>
    <w:p>
      <w:pPr>
        <w:pStyle w:val="23"/>
        <w:numPr>
          <w:ilvl w:val="0"/>
          <w:numId w:val="16"/>
        </w:numPr>
        <w:tabs>
          <w:tab w:val="clear" w:pos="0"/>
        </w:tabs>
        <w:snapToGrid w:val="0"/>
        <w:spacing w:line="360" w:lineRule="auto"/>
        <w:ind w:firstLineChars="0"/>
        <w:rPr>
          <w:szCs w:val="21"/>
        </w:rPr>
      </w:pPr>
      <w:r>
        <w:rPr>
          <w:rFonts w:hint="eastAsia"/>
          <w:szCs w:val="21"/>
        </w:rPr>
        <w:t>所有测量数据可保存在数据库中</w:t>
      </w:r>
    </w:p>
    <w:p>
      <w:pPr>
        <w:pStyle w:val="23"/>
        <w:numPr>
          <w:ilvl w:val="0"/>
          <w:numId w:val="16"/>
        </w:numPr>
        <w:tabs>
          <w:tab w:val="clear" w:pos="0"/>
        </w:tabs>
        <w:snapToGrid w:val="0"/>
        <w:spacing w:line="360" w:lineRule="auto"/>
        <w:ind w:firstLineChars="0"/>
        <w:rPr>
          <w:szCs w:val="21"/>
        </w:rPr>
      </w:pPr>
      <w:r>
        <w:rPr>
          <w:rFonts w:hint="eastAsia"/>
          <w:szCs w:val="21"/>
        </w:rPr>
        <w:t>可以对测量结果进行评价，具有最大值标记功能。提供软件界面截图</w:t>
      </w:r>
    </w:p>
    <w:p>
      <w:pPr>
        <w:pStyle w:val="23"/>
        <w:numPr>
          <w:ilvl w:val="0"/>
          <w:numId w:val="16"/>
        </w:numPr>
        <w:tabs>
          <w:tab w:val="clear" w:pos="0"/>
        </w:tabs>
        <w:snapToGrid w:val="0"/>
        <w:spacing w:line="360" w:lineRule="auto"/>
        <w:ind w:firstLineChars="0"/>
        <w:rPr>
          <w:szCs w:val="21"/>
        </w:rPr>
      </w:pPr>
      <w:r>
        <w:rPr>
          <w:rFonts w:hint="eastAsia" w:ascii="宋体" w:hAnsi="宋体" w:cs="宋体"/>
          <w:szCs w:val="21"/>
        </w:rPr>
        <w:t>▲具有远程控制功能，可通过光纤实现对仪器的完全控制，主机上的所有功能都可在软件上</w:t>
      </w:r>
    </w:p>
    <w:p>
      <w:pPr>
        <w:pStyle w:val="23"/>
        <w:snapToGrid w:val="0"/>
        <w:spacing w:line="360" w:lineRule="auto"/>
        <w:ind w:firstLine="0" w:firstLineChars="0"/>
        <w:rPr>
          <w:szCs w:val="21"/>
        </w:rPr>
      </w:pPr>
      <w:r>
        <w:rPr>
          <w:rFonts w:hint="eastAsia" w:ascii="宋体" w:hAnsi="宋体" w:cs="宋体"/>
          <w:szCs w:val="21"/>
        </w:rPr>
        <w:t xml:space="preserve">        实现，提供说明书和软件截图等证明文件</w:t>
      </w:r>
    </w:p>
    <w:p>
      <w:pPr>
        <w:pStyle w:val="23"/>
        <w:spacing w:line="360" w:lineRule="auto"/>
        <w:ind w:firstLine="0" w:firstLineChars="0"/>
        <w:rPr>
          <w:b/>
          <w:szCs w:val="21"/>
        </w:rPr>
      </w:pPr>
      <w:r>
        <w:rPr>
          <w:rFonts w:hint="eastAsia"/>
          <w:b/>
          <w:szCs w:val="21"/>
        </w:rPr>
        <w:t>3.2</w:t>
      </w:r>
      <w:r>
        <w:rPr>
          <w:rFonts w:hint="eastAsia"/>
          <w:b/>
          <w:szCs w:val="21"/>
        </w:rPr>
        <w:tab/>
      </w:r>
      <w:r>
        <w:rPr>
          <w:rFonts w:hint="eastAsia"/>
          <w:b/>
          <w:szCs w:val="21"/>
        </w:rPr>
        <w:t>射频电场</w:t>
      </w:r>
      <w:r>
        <w:rPr>
          <w:b/>
          <w:szCs w:val="21"/>
        </w:rPr>
        <w:t>探头</w:t>
      </w:r>
    </w:p>
    <w:p>
      <w:pPr>
        <w:pStyle w:val="23"/>
        <w:snapToGrid w:val="0"/>
        <w:spacing w:line="360" w:lineRule="auto"/>
        <w:ind w:firstLine="0" w:firstLineChars="0"/>
        <w:rPr>
          <w:szCs w:val="21"/>
        </w:rPr>
      </w:pPr>
      <w:r>
        <w:rPr>
          <w:rFonts w:hint="eastAsia"/>
          <w:szCs w:val="21"/>
        </w:rPr>
        <w:t>3.2.1</w:t>
      </w:r>
      <w:r>
        <w:rPr>
          <w:rFonts w:hint="eastAsia"/>
          <w:szCs w:val="21"/>
        </w:rPr>
        <w:tab/>
      </w:r>
      <w:r>
        <w:rPr>
          <w:rFonts w:hint="eastAsia"/>
          <w:szCs w:val="21"/>
        </w:rPr>
        <w:t xml:space="preserve">频率范围：上、下限截止频率定义在-3dB时，下限≤105 kHz，上限≥6GHz </w:t>
      </w:r>
    </w:p>
    <w:p>
      <w:pPr>
        <w:pStyle w:val="23"/>
        <w:snapToGrid w:val="0"/>
        <w:spacing w:line="360" w:lineRule="auto"/>
        <w:ind w:firstLine="0" w:firstLineChars="0"/>
        <w:rPr>
          <w:szCs w:val="21"/>
        </w:rPr>
      </w:pPr>
      <w:r>
        <w:rPr>
          <w:rFonts w:hint="eastAsia"/>
          <w:szCs w:val="21"/>
        </w:rPr>
        <w:t>3.2.2</w:t>
      </w:r>
      <w:r>
        <w:rPr>
          <w:rFonts w:hint="eastAsia"/>
          <w:szCs w:val="21"/>
        </w:rPr>
        <w:tab/>
      </w:r>
      <w:r>
        <w:rPr>
          <w:rFonts w:hint="eastAsia"/>
          <w:szCs w:val="21"/>
        </w:rPr>
        <w:t>传感器类型：二极管</w:t>
      </w:r>
    </w:p>
    <w:p>
      <w:pPr>
        <w:pStyle w:val="23"/>
        <w:snapToGrid w:val="0"/>
        <w:spacing w:line="360" w:lineRule="auto"/>
        <w:ind w:firstLine="0" w:firstLineChars="0"/>
        <w:rPr>
          <w:szCs w:val="21"/>
        </w:rPr>
      </w:pPr>
      <w:r>
        <w:rPr>
          <w:rFonts w:hint="eastAsia"/>
          <w:szCs w:val="21"/>
        </w:rPr>
        <w:t>3.2.3</w:t>
      </w:r>
      <w:r>
        <w:rPr>
          <w:rFonts w:hint="eastAsia"/>
          <w:szCs w:val="21"/>
        </w:rPr>
        <w:tab/>
      </w:r>
      <w:r>
        <w:rPr>
          <w:rFonts w:hint="eastAsia"/>
          <w:szCs w:val="21"/>
        </w:rPr>
        <w:t xml:space="preserve">频率响应类型：平坦型 </w:t>
      </w:r>
    </w:p>
    <w:p>
      <w:pPr>
        <w:pStyle w:val="23"/>
        <w:snapToGrid w:val="0"/>
        <w:spacing w:line="360" w:lineRule="auto"/>
        <w:ind w:firstLine="0" w:firstLineChars="0"/>
        <w:rPr>
          <w:szCs w:val="21"/>
        </w:rPr>
      </w:pPr>
      <w:r>
        <w:rPr>
          <w:rFonts w:hint="eastAsia"/>
          <w:szCs w:val="21"/>
        </w:rPr>
        <w:t>3.2.4</w:t>
      </w:r>
      <w:r>
        <w:rPr>
          <w:rFonts w:hint="eastAsia"/>
          <w:szCs w:val="21"/>
        </w:rPr>
        <w:tab/>
      </w:r>
      <w:r>
        <w:rPr>
          <w:rFonts w:hint="eastAsia" w:ascii="宋体" w:hAnsi="宋体" w:cs="宋体"/>
          <w:szCs w:val="21"/>
        </w:rPr>
        <w:t>▲</w:t>
      </w:r>
      <w:r>
        <w:rPr>
          <w:rFonts w:hint="eastAsia"/>
          <w:szCs w:val="21"/>
        </w:rPr>
        <w:t xml:space="preserve">量程范围：0.2 ~ 600 V/m </w:t>
      </w:r>
    </w:p>
    <w:p>
      <w:pPr>
        <w:pStyle w:val="23"/>
        <w:snapToGrid w:val="0"/>
        <w:spacing w:line="360" w:lineRule="auto"/>
        <w:ind w:firstLine="0" w:firstLineChars="0"/>
        <w:rPr>
          <w:szCs w:val="21"/>
        </w:rPr>
      </w:pPr>
      <w:r>
        <w:rPr>
          <w:rFonts w:hint="eastAsia"/>
          <w:szCs w:val="21"/>
        </w:rPr>
        <w:t>3.2.5</w:t>
      </w:r>
      <w:r>
        <w:rPr>
          <w:rFonts w:hint="eastAsia"/>
          <w:szCs w:val="21"/>
        </w:rPr>
        <w:tab/>
      </w:r>
      <w:r>
        <w:rPr>
          <w:rFonts w:hint="eastAsia"/>
          <w:szCs w:val="21"/>
        </w:rPr>
        <w:t>损毁电平：≥10 kV/m（峰值）、1000 V/m（正弦波）</w:t>
      </w:r>
    </w:p>
    <w:p>
      <w:pPr>
        <w:pStyle w:val="23"/>
        <w:snapToGrid w:val="0"/>
        <w:spacing w:line="360" w:lineRule="auto"/>
        <w:ind w:firstLine="0" w:firstLineChars="0"/>
        <w:rPr>
          <w:szCs w:val="21"/>
        </w:rPr>
      </w:pPr>
      <w:r>
        <w:rPr>
          <w:rFonts w:hint="eastAsia"/>
          <w:szCs w:val="21"/>
        </w:rPr>
        <w:t>3.2.6</w:t>
      </w:r>
      <w:r>
        <w:rPr>
          <w:rFonts w:hint="eastAsia"/>
          <w:szCs w:val="21"/>
        </w:rPr>
        <w:tab/>
      </w:r>
      <w:r>
        <w:rPr>
          <w:rFonts w:hint="eastAsia"/>
          <w:szCs w:val="21"/>
        </w:rPr>
        <w:t>方向性：各向同性（三轴），3个独立的天线轴可同时显示测量结果。提供测量结果界面截图</w:t>
      </w:r>
    </w:p>
    <w:p>
      <w:pPr>
        <w:pStyle w:val="23"/>
        <w:snapToGrid w:val="0"/>
        <w:spacing w:line="360" w:lineRule="auto"/>
        <w:ind w:firstLine="0" w:firstLineChars="0"/>
        <w:rPr>
          <w:szCs w:val="21"/>
        </w:rPr>
      </w:pPr>
      <w:r>
        <w:rPr>
          <w:rFonts w:hint="eastAsia"/>
          <w:szCs w:val="21"/>
        </w:rPr>
        <w:t xml:space="preserve">        证明材料</w:t>
      </w:r>
    </w:p>
    <w:p>
      <w:pPr>
        <w:pStyle w:val="23"/>
        <w:snapToGrid w:val="0"/>
        <w:spacing w:line="360" w:lineRule="auto"/>
        <w:ind w:firstLine="0" w:firstLineChars="0"/>
        <w:rPr>
          <w:szCs w:val="21"/>
        </w:rPr>
      </w:pPr>
      <w:r>
        <w:rPr>
          <w:rFonts w:hint="eastAsia"/>
          <w:szCs w:val="21"/>
        </w:rPr>
        <w:t>3.2.7</w:t>
      </w:r>
      <w:r>
        <w:rPr>
          <w:rFonts w:hint="eastAsia"/>
          <w:szCs w:val="21"/>
        </w:rPr>
        <w:tab/>
      </w:r>
      <w:r>
        <w:rPr>
          <w:rFonts w:hint="eastAsia"/>
          <w:szCs w:val="21"/>
        </w:rPr>
        <w:t xml:space="preserve">各向同性响应：≤±1 dB </w:t>
      </w:r>
    </w:p>
    <w:p>
      <w:pPr>
        <w:pStyle w:val="23"/>
        <w:snapToGrid w:val="0"/>
        <w:spacing w:line="360" w:lineRule="auto"/>
        <w:ind w:firstLine="0" w:firstLineChars="0"/>
        <w:rPr>
          <w:szCs w:val="21"/>
        </w:rPr>
      </w:pPr>
      <w:r>
        <w:rPr>
          <w:rFonts w:hint="eastAsia"/>
          <w:szCs w:val="21"/>
        </w:rPr>
        <w:t>3.2.8</w:t>
      </w:r>
      <w:r>
        <w:rPr>
          <w:rFonts w:hint="eastAsia"/>
          <w:szCs w:val="21"/>
        </w:rPr>
        <w:tab/>
      </w:r>
      <w:r>
        <w:rPr>
          <w:rFonts w:hint="eastAsia"/>
          <w:szCs w:val="21"/>
        </w:rPr>
        <w:t xml:space="preserve">频响平坦度：≤±1.1 dB @（1 MHz ~ 4 GHz）；≤±1.5 dB@（0.3 MHz ~ 5 GHz） </w:t>
      </w:r>
    </w:p>
    <w:p>
      <w:pPr>
        <w:pStyle w:val="23"/>
        <w:snapToGrid w:val="0"/>
        <w:spacing w:line="360" w:lineRule="auto"/>
        <w:ind w:firstLine="0" w:firstLineChars="0"/>
        <w:rPr>
          <w:szCs w:val="21"/>
        </w:rPr>
      </w:pPr>
      <w:r>
        <w:rPr>
          <w:rFonts w:hint="eastAsia"/>
          <w:szCs w:val="21"/>
        </w:rPr>
        <w:t>3.2.9</w:t>
      </w:r>
      <w:r>
        <w:rPr>
          <w:rFonts w:hint="eastAsia"/>
          <w:szCs w:val="21"/>
        </w:rPr>
        <w:tab/>
      </w:r>
      <w:r>
        <w:rPr>
          <w:rFonts w:hint="eastAsia"/>
          <w:szCs w:val="21"/>
        </w:rPr>
        <w:t xml:space="preserve">线性度：≤±0.5 dB </w:t>
      </w:r>
    </w:p>
    <w:p>
      <w:pPr>
        <w:pStyle w:val="23"/>
        <w:snapToGrid w:val="0"/>
        <w:spacing w:line="360" w:lineRule="auto"/>
        <w:ind w:firstLine="0" w:firstLineChars="0"/>
        <w:rPr>
          <w:szCs w:val="21"/>
        </w:rPr>
      </w:pPr>
      <w:r>
        <w:rPr>
          <w:rFonts w:hint="eastAsia"/>
          <w:szCs w:val="21"/>
        </w:rPr>
        <w:t>3.2.10</w:t>
      </w:r>
      <w:r>
        <w:rPr>
          <w:rFonts w:hint="eastAsia"/>
          <w:szCs w:val="21"/>
        </w:rPr>
        <w:tab/>
      </w:r>
      <w:r>
        <w:rPr>
          <w:rFonts w:hint="eastAsia"/>
          <w:szCs w:val="21"/>
        </w:rPr>
        <w:t>校准参数内置在探头内，当连接到主机时，自动调用校准参数。</w:t>
      </w:r>
    </w:p>
    <w:p>
      <w:pPr>
        <w:pStyle w:val="23"/>
        <w:snapToGrid w:val="0"/>
        <w:spacing w:line="360" w:lineRule="auto"/>
        <w:ind w:firstLine="0" w:firstLineChars="0"/>
        <w:rPr>
          <w:szCs w:val="21"/>
        </w:rPr>
      </w:pPr>
      <w:r>
        <w:rPr>
          <w:rFonts w:hint="eastAsia"/>
          <w:szCs w:val="21"/>
        </w:rPr>
        <w:t>3.2.11</w:t>
      </w:r>
      <w:r>
        <w:rPr>
          <w:rFonts w:hint="eastAsia"/>
          <w:szCs w:val="21"/>
        </w:rPr>
        <w:tab/>
      </w:r>
      <w:r>
        <w:rPr>
          <w:rFonts w:hint="eastAsia"/>
          <w:szCs w:val="21"/>
        </w:rPr>
        <w:t xml:space="preserve">温度：操作0℃ ~ +50℃；存储-40℃ ~ +70℃； </w:t>
      </w:r>
    </w:p>
    <w:p>
      <w:pPr>
        <w:pStyle w:val="23"/>
        <w:snapToGrid w:val="0"/>
        <w:spacing w:line="360" w:lineRule="auto"/>
        <w:ind w:firstLine="0" w:firstLineChars="0"/>
        <w:rPr>
          <w:szCs w:val="21"/>
        </w:rPr>
      </w:pPr>
      <w:r>
        <w:rPr>
          <w:rFonts w:hint="eastAsia"/>
          <w:szCs w:val="21"/>
        </w:rPr>
        <w:t>3.2.12</w:t>
      </w:r>
      <w:r>
        <w:rPr>
          <w:rFonts w:hint="eastAsia"/>
          <w:szCs w:val="21"/>
        </w:rPr>
        <w:tab/>
      </w:r>
      <w:r>
        <w:rPr>
          <w:rFonts w:hint="eastAsia" w:ascii="宋体" w:hAnsi="宋体" w:cs="宋体"/>
          <w:szCs w:val="21"/>
        </w:rPr>
        <w:t>▲</w:t>
      </w:r>
      <w:r>
        <w:rPr>
          <w:rFonts w:hint="eastAsia"/>
          <w:szCs w:val="21"/>
        </w:rPr>
        <w:t>仪器送国家法定检测机构检定计量点不少于12个频点。提供由CNAS认证的计量部门出</w:t>
      </w:r>
    </w:p>
    <w:p>
      <w:pPr>
        <w:pStyle w:val="23"/>
        <w:snapToGrid w:val="0"/>
        <w:spacing w:line="360" w:lineRule="auto"/>
        <w:ind w:firstLine="0" w:firstLineChars="0"/>
        <w:rPr>
          <w:szCs w:val="21"/>
        </w:rPr>
      </w:pPr>
      <w:r>
        <w:rPr>
          <w:rFonts w:hint="eastAsia"/>
          <w:szCs w:val="21"/>
        </w:rPr>
        <w:t xml:space="preserve">        具的同一型号探头的校准证书复印件</w:t>
      </w:r>
    </w:p>
    <w:p>
      <w:pPr>
        <w:pStyle w:val="23"/>
        <w:spacing w:line="360" w:lineRule="auto"/>
        <w:ind w:firstLine="0" w:firstLineChars="0"/>
        <w:rPr>
          <w:b/>
          <w:szCs w:val="21"/>
        </w:rPr>
      </w:pPr>
      <w:r>
        <w:rPr>
          <w:rFonts w:hint="eastAsia"/>
          <w:b/>
          <w:szCs w:val="21"/>
        </w:rPr>
        <w:t>3.3</w:t>
      </w:r>
      <w:r>
        <w:rPr>
          <w:rFonts w:hint="eastAsia"/>
          <w:b/>
          <w:szCs w:val="21"/>
        </w:rPr>
        <w:tab/>
      </w:r>
      <w:r>
        <w:rPr>
          <w:b/>
          <w:szCs w:val="21"/>
        </w:rPr>
        <w:t>工频</w:t>
      </w:r>
      <w:r>
        <w:rPr>
          <w:rFonts w:hint="eastAsia"/>
          <w:b/>
          <w:szCs w:val="21"/>
        </w:rPr>
        <w:t>辐射测量</w:t>
      </w:r>
      <w:r>
        <w:rPr>
          <w:b/>
          <w:szCs w:val="21"/>
        </w:rPr>
        <w:t>仪</w:t>
      </w:r>
    </w:p>
    <w:p>
      <w:pPr>
        <w:pStyle w:val="23"/>
        <w:numPr>
          <w:ilvl w:val="0"/>
          <w:numId w:val="17"/>
        </w:numPr>
        <w:snapToGrid w:val="0"/>
        <w:spacing w:line="360" w:lineRule="auto"/>
        <w:ind w:left="720" w:hanging="720" w:firstLineChars="0"/>
        <w:rPr>
          <w:szCs w:val="21"/>
        </w:rPr>
      </w:pPr>
      <w:r>
        <w:rPr>
          <w:szCs w:val="21"/>
        </w:rPr>
        <w:t>频率范围：</w:t>
      </w:r>
      <w:r>
        <w:rPr>
          <w:rFonts w:hint="eastAsia"/>
          <w:szCs w:val="21"/>
        </w:rPr>
        <w:t>1Hz</w:t>
      </w:r>
      <w:r>
        <w:rPr>
          <w:szCs w:val="21"/>
        </w:rPr>
        <w:t xml:space="preserve"> ~ 400kHz</w:t>
      </w:r>
    </w:p>
    <w:p>
      <w:pPr>
        <w:pStyle w:val="23"/>
        <w:numPr>
          <w:ilvl w:val="0"/>
          <w:numId w:val="17"/>
        </w:numPr>
        <w:snapToGrid w:val="0"/>
        <w:spacing w:line="360" w:lineRule="auto"/>
        <w:ind w:left="720" w:hanging="720" w:firstLineChars="0"/>
        <w:rPr>
          <w:szCs w:val="21"/>
        </w:rPr>
      </w:pPr>
      <w:r>
        <w:rPr>
          <w:szCs w:val="21"/>
        </w:rPr>
        <w:t>可同时测量电场和磁场</w:t>
      </w:r>
    </w:p>
    <w:p>
      <w:pPr>
        <w:pStyle w:val="23"/>
        <w:numPr>
          <w:ilvl w:val="0"/>
          <w:numId w:val="17"/>
        </w:numPr>
        <w:snapToGrid w:val="0"/>
        <w:spacing w:line="360" w:lineRule="auto"/>
        <w:ind w:left="720" w:hanging="720" w:firstLineChars="0"/>
        <w:rPr>
          <w:szCs w:val="21"/>
        </w:rPr>
      </w:pPr>
      <w:r>
        <w:rPr>
          <w:rFonts w:hint="eastAsia" w:ascii="宋体" w:hAnsi="宋体" w:cs="宋体"/>
          <w:szCs w:val="21"/>
        </w:rPr>
        <w:t>▲</w:t>
      </w:r>
      <w:r>
        <w:rPr>
          <w:rFonts w:hint="eastAsia"/>
          <w:szCs w:val="21"/>
        </w:rPr>
        <w:t>工作方式多样：与主机通过光纤配合使用；与PC通过光纤配合使用；可独立连续工作</w:t>
      </w:r>
      <w:bookmarkStart w:id="195" w:name="_Hlk13577238"/>
      <w:r>
        <w:rPr>
          <w:rFonts w:hint="eastAsia"/>
          <w:szCs w:val="21"/>
        </w:rPr>
        <w:t>；可使用Window平板电脑作为显示单元，提供实物照片</w:t>
      </w:r>
      <w:bookmarkEnd w:id="195"/>
    </w:p>
    <w:p>
      <w:pPr>
        <w:pStyle w:val="23"/>
        <w:numPr>
          <w:ilvl w:val="0"/>
          <w:numId w:val="17"/>
        </w:numPr>
        <w:snapToGrid w:val="0"/>
        <w:spacing w:line="360" w:lineRule="auto"/>
        <w:ind w:left="720" w:hanging="720" w:firstLineChars="0"/>
        <w:rPr>
          <w:szCs w:val="21"/>
        </w:rPr>
      </w:pPr>
      <w:r>
        <w:rPr>
          <w:rFonts w:hint="eastAsia"/>
          <w:szCs w:val="21"/>
        </w:rPr>
        <w:t>电场测量范围：</w:t>
      </w:r>
      <w:r>
        <w:rPr>
          <w:szCs w:val="21"/>
        </w:rPr>
        <w:t>10mV</w:t>
      </w:r>
      <w:r>
        <w:rPr>
          <w:rFonts w:hint="eastAsia"/>
          <w:szCs w:val="21"/>
        </w:rPr>
        <w:t>~</w:t>
      </w:r>
      <w:r>
        <w:rPr>
          <w:szCs w:val="21"/>
        </w:rPr>
        <w:t>100kV/m，动态范围：≥100 dB；</w:t>
      </w:r>
    </w:p>
    <w:p>
      <w:pPr>
        <w:pStyle w:val="23"/>
        <w:numPr>
          <w:ilvl w:val="0"/>
          <w:numId w:val="17"/>
        </w:numPr>
        <w:snapToGrid w:val="0"/>
        <w:spacing w:line="360" w:lineRule="auto"/>
        <w:ind w:left="720" w:hanging="720" w:firstLineChars="0"/>
        <w:rPr>
          <w:szCs w:val="21"/>
        </w:rPr>
      </w:pPr>
      <w:r>
        <w:rPr>
          <w:szCs w:val="21"/>
        </w:rPr>
        <w:t>磁场</w:t>
      </w:r>
      <w:r>
        <w:rPr>
          <w:rFonts w:hint="eastAsia"/>
          <w:szCs w:val="21"/>
        </w:rPr>
        <w:t>测量范围</w:t>
      </w:r>
      <w:r>
        <w:rPr>
          <w:szCs w:val="21"/>
        </w:rPr>
        <w:t>：0.5nT~10mT，动态范围：≥100 dB；</w:t>
      </w:r>
    </w:p>
    <w:p>
      <w:pPr>
        <w:pStyle w:val="23"/>
        <w:numPr>
          <w:ilvl w:val="0"/>
          <w:numId w:val="17"/>
        </w:numPr>
        <w:snapToGrid w:val="0"/>
        <w:spacing w:line="360" w:lineRule="auto"/>
        <w:ind w:left="720" w:hanging="720" w:firstLineChars="0"/>
        <w:rPr>
          <w:szCs w:val="21"/>
        </w:rPr>
      </w:pPr>
      <w:r>
        <w:rPr>
          <w:szCs w:val="21"/>
        </w:rPr>
        <w:t>最大过载：电场</w:t>
      </w:r>
      <w:r>
        <w:rPr>
          <w:rFonts w:hint="eastAsia"/>
          <w:szCs w:val="21"/>
        </w:rPr>
        <w:t>不低于</w:t>
      </w:r>
      <w:r>
        <w:rPr>
          <w:szCs w:val="21"/>
        </w:rPr>
        <w:t>200kV/m</w:t>
      </w:r>
      <w:r>
        <w:rPr>
          <w:rFonts w:hint="eastAsia"/>
          <w:szCs w:val="21"/>
        </w:rPr>
        <w:t>；</w:t>
      </w:r>
      <w:r>
        <w:rPr>
          <w:szCs w:val="21"/>
        </w:rPr>
        <w:t>磁场</w:t>
      </w:r>
      <w:r>
        <w:rPr>
          <w:rFonts w:hint="eastAsia"/>
          <w:szCs w:val="21"/>
        </w:rPr>
        <w:t>不低于</w:t>
      </w:r>
      <w:r>
        <w:rPr>
          <w:szCs w:val="21"/>
        </w:rPr>
        <w:t xml:space="preserve">20mT； </w:t>
      </w:r>
    </w:p>
    <w:p>
      <w:pPr>
        <w:pStyle w:val="23"/>
        <w:numPr>
          <w:ilvl w:val="0"/>
          <w:numId w:val="17"/>
        </w:numPr>
        <w:snapToGrid w:val="0"/>
        <w:spacing w:line="360" w:lineRule="auto"/>
        <w:ind w:left="720" w:hanging="720" w:firstLineChars="0"/>
        <w:rPr>
          <w:szCs w:val="21"/>
        </w:rPr>
      </w:pPr>
      <w:r>
        <w:rPr>
          <w:szCs w:val="21"/>
        </w:rPr>
        <w:t>平坦度：在40 Hz ~100 kHz频段内≤±0.35 dB；在100 kHz~400 kHz频段内≤±0.5 dB；</w:t>
      </w:r>
    </w:p>
    <w:p>
      <w:pPr>
        <w:pStyle w:val="23"/>
        <w:numPr>
          <w:ilvl w:val="0"/>
          <w:numId w:val="17"/>
        </w:numPr>
        <w:snapToGrid w:val="0"/>
        <w:spacing w:line="360" w:lineRule="auto"/>
        <w:ind w:left="720" w:hanging="720" w:firstLineChars="0"/>
        <w:rPr>
          <w:szCs w:val="21"/>
        </w:rPr>
      </w:pPr>
      <w:r>
        <w:rPr>
          <w:szCs w:val="21"/>
        </w:rPr>
        <w:t>线性度：≤±0.2 dB</w:t>
      </w:r>
    </w:p>
    <w:p>
      <w:pPr>
        <w:pStyle w:val="23"/>
        <w:numPr>
          <w:ilvl w:val="0"/>
          <w:numId w:val="17"/>
        </w:numPr>
        <w:snapToGrid w:val="0"/>
        <w:spacing w:line="360" w:lineRule="auto"/>
        <w:ind w:left="720" w:hanging="720" w:firstLineChars="0"/>
        <w:rPr>
          <w:szCs w:val="21"/>
        </w:rPr>
      </w:pPr>
      <w:r>
        <w:rPr>
          <w:rFonts w:hint="eastAsia"/>
          <w:szCs w:val="21"/>
        </w:rPr>
        <w:t>在全频段范围内都具有</w:t>
      </w:r>
      <w:r>
        <w:rPr>
          <w:szCs w:val="21"/>
        </w:rPr>
        <w:t>频谱分析模式，</w:t>
      </w:r>
      <w:r>
        <w:rPr>
          <w:rFonts w:hint="eastAsia"/>
          <w:szCs w:val="21"/>
        </w:rPr>
        <w:t>可</w:t>
      </w:r>
      <w:r>
        <w:rPr>
          <w:szCs w:val="21"/>
        </w:rPr>
        <w:t>用于鉴别</w:t>
      </w:r>
      <w:r>
        <w:rPr>
          <w:rFonts w:hint="eastAsia"/>
          <w:szCs w:val="21"/>
        </w:rPr>
        <w:t>电磁辐射信号</w:t>
      </w:r>
      <w:r>
        <w:rPr>
          <w:szCs w:val="21"/>
        </w:rPr>
        <w:t>源</w:t>
      </w:r>
      <w:r>
        <w:rPr>
          <w:rFonts w:hint="eastAsia"/>
          <w:szCs w:val="21"/>
        </w:rPr>
        <w:t>。</w:t>
      </w:r>
      <w:r>
        <w:rPr>
          <w:szCs w:val="21"/>
        </w:rPr>
        <w:t xml:space="preserve"> </w:t>
      </w:r>
    </w:p>
    <w:p>
      <w:pPr>
        <w:pStyle w:val="23"/>
        <w:numPr>
          <w:ilvl w:val="0"/>
          <w:numId w:val="17"/>
        </w:numPr>
        <w:snapToGrid w:val="0"/>
        <w:spacing w:line="360" w:lineRule="auto"/>
        <w:ind w:left="720" w:hanging="720" w:firstLineChars="0"/>
        <w:rPr>
          <w:szCs w:val="21"/>
        </w:rPr>
      </w:pPr>
      <w:r>
        <w:rPr>
          <w:rFonts w:hint="eastAsia" w:ascii="宋体" w:hAnsi="宋体" w:cs="宋体"/>
          <w:szCs w:val="21"/>
        </w:rPr>
        <w:t>▲</w:t>
      </w:r>
      <w:r>
        <w:rPr>
          <w:rFonts w:hint="eastAsia"/>
          <w:szCs w:val="21"/>
        </w:rPr>
        <w:t>最小分辨率不大于0</w:t>
      </w:r>
      <w:r>
        <w:rPr>
          <w:szCs w:val="21"/>
        </w:rPr>
        <w:t>.5</w:t>
      </w:r>
      <w:r>
        <w:rPr>
          <w:rFonts w:hint="eastAsia"/>
          <w:szCs w:val="21"/>
        </w:rPr>
        <w:t>Hz</w:t>
      </w:r>
      <w:r>
        <w:rPr>
          <w:szCs w:val="21"/>
        </w:rPr>
        <w:t>@50</w:t>
      </w:r>
      <w:r>
        <w:rPr>
          <w:rFonts w:hint="eastAsia"/>
          <w:szCs w:val="21"/>
        </w:rPr>
        <w:t>Hz，可准确测量工频（5</w:t>
      </w:r>
      <w:r>
        <w:rPr>
          <w:szCs w:val="21"/>
        </w:rPr>
        <w:t>0</w:t>
      </w:r>
      <w:r>
        <w:rPr>
          <w:rFonts w:hint="eastAsia"/>
          <w:szCs w:val="21"/>
        </w:rPr>
        <w:t>Hz）电磁辐射。提供频谱分析的界面截图等证明材料</w:t>
      </w:r>
    </w:p>
    <w:p>
      <w:pPr>
        <w:pStyle w:val="23"/>
        <w:numPr>
          <w:ilvl w:val="0"/>
          <w:numId w:val="17"/>
        </w:numPr>
        <w:snapToGrid w:val="0"/>
        <w:spacing w:line="360" w:lineRule="auto"/>
        <w:ind w:left="720" w:hanging="720" w:firstLineChars="0"/>
        <w:rPr>
          <w:szCs w:val="21"/>
        </w:rPr>
      </w:pPr>
      <w:r>
        <w:rPr>
          <w:rFonts w:hint="eastAsia" w:ascii="宋体" w:hAnsi="宋体" w:cs="宋体"/>
          <w:szCs w:val="21"/>
        </w:rPr>
        <w:t>▲</w:t>
      </w:r>
      <w:r>
        <w:rPr>
          <w:szCs w:val="21"/>
        </w:rPr>
        <w:t>具有计权峰值模式，频率范围：</w:t>
      </w:r>
      <w:r>
        <w:rPr>
          <w:rFonts w:hint="eastAsia"/>
          <w:szCs w:val="21"/>
        </w:rPr>
        <w:t>1Hz</w:t>
      </w:r>
      <w:r>
        <w:rPr>
          <w:szCs w:val="21"/>
        </w:rPr>
        <w:t>~400</w:t>
      </w:r>
      <w:r>
        <w:rPr>
          <w:rFonts w:hint="eastAsia"/>
          <w:szCs w:val="21"/>
        </w:rPr>
        <w:t>kHz</w:t>
      </w:r>
      <w:r>
        <w:rPr>
          <w:szCs w:val="21"/>
        </w:rPr>
        <w:t>。</w:t>
      </w:r>
      <w:r>
        <w:rPr>
          <w:rFonts w:hint="eastAsia"/>
          <w:szCs w:val="21"/>
        </w:rPr>
        <w:t>可依据GB</w:t>
      </w:r>
      <w:r>
        <w:rPr>
          <w:szCs w:val="21"/>
        </w:rPr>
        <w:t>8702</w:t>
      </w:r>
      <w:r>
        <w:rPr>
          <w:rFonts w:hint="eastAsia"/>
          <w:szCs w:val="21"/>
        </w:rPr>
        <w:t>标准给出百分比的结果。提供计权模式的界面截图等证明材料</w:t>
      </w:r>
    </w:p>
    <w:p>
      <w:pPr>
        <w:pStyle w:val="23"/>
        <w:numPr>
          <w:ilvl w:val="0"/>
          <w:numId w:val="17"/>
        </w:numPr>
        <w:snapToGrid w:val="0"/>
        <w:spacing w:line="360" w:lineRule="auto"/>
        <w:ind w:left="720" w:hanging="720" w:firstLineChars="0"/>
        <w:rPr>
          <w:szCs w:val="21"/>
        </w:rPr>
      </w:pPr>
      <w:r>
        <w:rPr>
          <w:szCs w:val="21"/>
        </w:rPr>
        <w:t>校准数据存储</w:t>
      </w:r>
      <w:r>
        <w:rPr>
          <w:rFonts w:hint="eastAsia"/>
          <w:szCs w:val="21"/>
        </w:rPr>
        <w:t>在</w:t>
      </w:r>
      <w:r>
        <w:rPr>
          <w:szCs w:val="21"/>
        </w:rPr>
        <w:t>E2PROM</w:t>
      </w:r>
      <w:r>
        <w:rPr>
          <w:rFonts w:hint="eastAsia"/>
          <w:szCs w:val="21"/>
        </w:rPr>
        <w:t>芯片中</w:t>
      </w:r>
    </w:p>
    <w:p>
      <w:pPr>
        <w:pStyle w:val="23"/>
        <w:numPr>
          <w:ilvl w:val="0"/>
          <w:numId w:val="17"/>
        </w:numPr>
        <w:snapToGrid w:val="0"/>
        <w:spacing w:line="360" w:lineRule="auto"/>
        <w:ind w:left="720" w:hanging="720" w:firstLineChars="0"/>
        <w:rPr>
          <w:szCs w:val="21"/>
        </w:rPr>
      </w:pPr>
      <w:r>
        <w:rPr>
          <w:szCs w:val="21"/>
        </w:rPr>
        <w:t>连续操作时间&gt;8小时；充电时间&lt;6小时；</w:t>
      </w:r>
    </w:p>
    <w:p>
      <w:pPr>
        <w:pStyle w:val="23"/>
        <w:spacing w:line="360" w:lineRule="auto"/>
        <w:ind w:firstLine="0" w:firstLineChars="0"/>
        <w:rPr>
          <w:b/>
          <w:szCs w:val="21"/>
        </w:rPr>
      </w:pPr>
      <w:r>
        <w:rPr>
          <w:rFonts w:hint="eastAsia"/>
          <w:b/>
          <w:szCs w:val="21"/>
        </w:rPr>
        <w:t xml:space="preserve">3.4 </w:t>
      </w:r>
      <w:r>
        <w:rPr>
          <w:rFonts w:hint="eastAsia"/>
          <w:b/>
          <w:szCs w:val="21"/>
        </w:rPr>
        <w:tab/>
      </w:r>
      <w:r>
        <w:rPr>
          <w:rFonts w:hint="eastAsia"/>
          <w:b/>
          <w:szCs w:val="21"/>
        </w:rPr>
        <w:t>软件功能要求</w:t>
      </w:r>
    </w:p>
    <w:p>
      <w:pPr>
        <w:pStyle w:val="23"/>
        <w:snapToGrid w:val="0"/>
        <w:spacing w:line="360" w:lineRule="auto"/>
        <w:ind w:firstLine="0" w:firstLineChars="0"/>
        <w:rPr>
          <w:szCs w:val="21"/>
        </w:rPr>
      </w:pPr>
      <w:r>
        <w:rPr>
          <w:rFonts w:hint="eastAsia"/>
          <w:szCs w:val="21"/>
        </w:rPr>
        <w:t>3.4.1   支持文本、图片等格式的P</w:t>
      </w:r>
      <w:r>
        <w:rPr>
          <w:szCs w:val="21"/>
        </w:rPr>
        <w:t>C</w:t>
      </w:r>
      <w:r>
        <w:rPr>
          <w:rFonts w:hint="eastAsia"/>
          <w:szCs w:val="21"/>
        </w:rPr>
        <w:t>端手动数据存储，支持自动定时存储数据。提供存储界面截图</w:t>
      </w:r>
    </w:p>
    <w:p>
      <w:pPr>
        <w:pStyle w:val="23"/>
        <w:snapToGrid w:val="0"/>
        <w:spacing w:line="360" w:lineRule="auto"/>
        <w:ind w:firstLine="0" w:firstLineChars="0"/>
        <w:rPr>
          <w:szCs w:val="21"/>
        </w:rPr>
      </w:pPr>
      <w:r>
        <w:rPr>
          <w:rFonts w:hint="eastAsia"/>
          <w:szCs w:val="21"/>
        </w:rPr>
        <w:t xml:space="preserve">       等证明材料。</w:t>
      </w:r>
    </w:p>
    <w:p>
      <w:pPr>
        <w:pStyle w:val="23"/>
        <w:snapToGrid w:val="0"/>
        <w:spacing w:line="360" w:lineRule="auto"/>
        <w:ind w:firstLine="0" w:firstLineChars="0"/>
        <w:rPr>
          <w:szCs w:val="21"/>
        </w:rPr>
      </w:pPr>
      <w:r>
        <w:rPr>
          <w:rFonts w:hint="eastAsia"/>
          <w:szCs w:val="21"/>
        </w:rPr>
        <w:t>3.4.2   可以对测量结果进行评价，具有最大值标记功能。提供软件界面截图</w:t>
      </w:r>
    </w:p>
    <w:p>
      <w:pPr>
        <w:pStyle w:val="23"/>
        <w:snapToGrid w:val="0"/>
        <w:spacing w:line="360" w:lineRule="auto"/>
        <w:ind w:firstLine="0" w:firstLineChars="0"/>
        <w:rPr>
          <w:szCs w:val="21"/>
        </w:rPr>
      </w:pPr>
      <w:r>
        <w:rPr>
          <w:rFonts w:hint="eastAsia"/>
          <w:szCs w:val="21"/>
        </w:rPr>
        <w:t xml:space="preserve">3.4.3   </w:t>
      </w:r>
      <w:r>
        <w:rPr>
          <w:rFonts w:hint="eastAsia" w:ascii="宋体" w:hAnsi="宋体" w:cs="宋体"/>
          <w:szCs w:val="21"/>
        </w:rPr>
        <w:t>▲</w:t>
      </w:r>
      <w:r>
        <w:rPr>
          <w:rFonts w:hint="eastAsia"/>
          <w:szCs w:val="21"/>
        </w:rPr>
        <w:t>具有远程控制功能，可通过光纤实现对仪器的完全控制，</w:t>
      </w:r>
      <w:r>
        <w:rPr>
          <w:szCs w:val="21"/>
        </w:rPr>
        <w:t>工频辐射测量仪</w:t>
      </w:r>
      <w:r>
        <w:rPr>
          <w:rFonts w:hint="eastAsia"/>
          <w:szCs w:val="21"/>
        </w:rPr>
        <w:t>上的所有功能都</w:t>
      </w:r>
    </w:p>
    <w:p>
      <w:pPr>
        <w:pStyle w:val="23"/>
        <w:snapToGrid w:val="0"/>
        <w:spacing w:line="360" w:lineRule="auto"/>
        <w:ind w:firstLine="0" w:firstLineChars="0"/>
        <w:rPr>
          <w:szCs w:val="21"/>
        </w:rPr>
      </w:pPr>
      <w:r>
        <w:rPr>
          <w:rFonts w:hint="eastAsia"/>
          <w:szCs w:val="21"/>
        </w:rPr>
        <w:t xml:space="preserve">       可在软件上实现。提供说明书和软件截图等证明文件</w:t>
      </w:r>
    </w:p>
    <w:p>
      <w:pPr>
        <w:pStyle w:val="23"/>
        <w:spacing w:line="360" w:lineRule="auto"/>
        <w:ind w:firstLine="0" w:firstLineChars="0"/>
        <w:rPr>
          <w:b/>
          <w:bCs/>
          <w:szCs w:val="21"/>
        </w:rPr>
      </w:pPr>
      <w:r>
        <w:rPr>
          <w:rFonts w:hint="eastAsia"/>
          <w:b/>
          <w:bCs/>
          <w:szCs w:val="21"/>
        </w:rPr>
        <w:t>4.</w:t>
      </w:r>
      <w:r>
        <w:rPr>
          <w:rFonts w:hint="eastAsia"/>
          <w:b/>
          <w:bCs/>
          <w:szCs w:val="21"/>
        </w:rPr>
        <w:tab/>
      </w:r>
      <w:r>
        <w:rPr>
          <w:b/>
          <w:bCs/>
          <w:szCs w:val="21"/>
        </w:rPr>
        <w:t>技术文件</w:t>
      </w:r>
    </w:p>
    <w:p>
      <w:pPr>
        <w:pStyle w:val="23"/>
        <w:spacing w:line="360" w:lineRule="auto"/>
        <w:ind w:firstLine="0" w:firstLineChars="0"/>
        <w:rPr>
          <w:rFonts w:ascii="宋体" w:hAnsi="宋体" w:cs="宋体"/>
          <w:szCs w:val="21"/>
        </w:rPr>
      </w:pPr>
      <w:r>
        <w:rPr>
          <w:rFonts w:hint="eastAsia"/>
          <w:szCs w:val="21"/>
        </w:rPr>
        <w:t>4.1</w:t>
      </w:r>
      <w:r>
        <w:rPr>
          <w:rFonts w:hint="eastAsia"/>
          <w:szCs w:val="21"/>
        </w:rPr>
        <w:tab/>
      </w:r>
      <w:r>
        <w:rPr>
          <w:rFonts w:hint="eastAsia"/>
          <w:szCs w:val="21"/>
        </w:rPr>
        <w:t xml:space="preserve">   </w:t>
      </w:r>
      <w:r>
        <w:rPr>
          <w:rFonts w:hint="eastAsia" w:ascii="宋体" w:hAnsi="宋体" w:cs="宋体"/>
          <w:szCs w:val="21"/>
        </w:rPr>
        <w:t>产品及其附件的装箱清单</w:t>
      </w:r>
    </w:p>
    <w:p>
      <w:pPr>
        <w:pStyle w:val="23"/>
        <w:spacing w:line="360" w:lineRule="auto"/>
        <w:ind w:firstLine="0" w:firstLineChars="0"/>
        <w:rPr>
          <w:szCs w:val="21"/>
        </w:rPr>
      </w:pPr>
      <w:r>
        <w:rPr>
          <w:rFonts w:hint="eastAsia"/>
          <w:szCs w:val="21"/>
        </w:rPr>
        <w:t>4.2</w:t>
      </w:r>
      <w:r>
        <w:rPr>
          <w:rFonts w:hint="eastAsia"/>
          <w:szCs w:val="21"/>
        </w:rPr>
        <w:tab/>
      </w:r>
      <w:r>
        <w:rPr>
          <w:rFonts w:hint="eastAsia"/>
          <w:szCs w:val="21"/>
        </w:rPr>
        <w:t xml:space="preserve">   </w:t>
      </w:r>
      <w:r>
        <w:rPr>
          <w:szCs w:val="21"/>
        </w:rPr>
        <w:t>产品出厂质量合格检定证明文件</w:t>
      </w:r>
    </w:p>
    <w:p>
      <w:pPr>
        <w:spacing w:line="360" w:lineRule="auto"/>
        <w:rPr>
          <w:rFonts w:ascii="宋体" w:hAnsi="宋体" w:cs="宋体"/>
          <w:szCs w:val="21"/>
        </w:rPr>
      </w:pPr>
      <w:r>
        <w:rPr>
          <w:rFonts w:hint="eastAsia" w:ascii="宋体" w:hAnsi="宋体" w:cs="宋体"/>
          <w:szCs w:val="21"/>
        </w:rPr>
        <w:t>4.3</w:t>
      </w:r>
      <w:r>
        <w:rPr>
          <w:rFonts w:hint="eastAsia" w:ascii="宋体" w:hAnsi="宋体" w:cs="宋体"/>
          <w:szCs w:val="21"/>
        </w:rPr>
        <w:tab/>
      </w:r>
      <w:r>
        <w:rPr>
          <w:rFonts w:hint="eastAsia" w:ascii="宋体" w:hAnsi="宋体" w:cs="宋体"/>
          <w:szCs w:val="21"/>
        </w:rPr>
        <w:t xml:space="preserve">   ★需提供原厂厂</w:t>
      </w:r>
      <w:r>
        <w:rPr>
          <w:szCs w:val="21"/>
        </w:rPr>
        <w:t>家授权委托书</w:t>
      </w:r>
      <w:r>
        <w:rPr>
          <w:rFonts w:hint="eastAsia"/>
          <w:szCs w:val="21"/>
        </w:rPr>
        <w:t>，必须原厂厂家授权给竞选方</w:t>
      </w:r>
    </w:p>
    <w:p>
      <w:pPr>
        <w:spacing w:line="360" w:lineRule="auto"/>
        <w:rPr>
          <w:rFonts w:ascii="宋体" w:hAnsi="宋体" w:cs="宋体"/>
          <w:b/>
          <w:szCs w:val="21"/>
        </w:rPr>
      </w:pPr>
      <w:r>
        <w:rPr>
          <w:rFonts w:hint="eastAsia" w:ascii="宋体" w:hAnsi="宋体" w:cs="宋体"/>
          <w:b/>
          <w:szCs w:val="21"/>
        </w:rPr>
        <w:t>5.</w:t>
      </w:r>
      <w:r>
        <w:rPr>
          <w:rFonts w:hint="eastAsia" w:ascii="宋体" w:hAnsi="宋体" w:cs="宋体"/>
          <w:b/>
          <w:szCs w:val="21"/>
        </w:rPr>
        <w:tab/>
      </w:r>
      <w:r>
        <w:rPr>
          <w:rFonts w:hint="eastAsia" w:ascii="宋体" w:hAnsi="宋体" w:cs="宋体"/>
          <w:b/>
          <w:szCs w:val="21"/>
        </w:rPr>
        <w:t>技术服务</w:t>
      </w:r>
    </w:p>
    <w:p>
      <w:pPr>
        <w:widowControl/>
        <w:snapToGrid w:val="0"/>
        <w:spacing w:line="360" w:lineRule="auto"/>
        <w:jc w:val="left"/>
        <w:rPr>
          <w:rFonts w:ascii="宋体" w:hAnsi="宋体" w:cs="宋体"/>
          <w:szCs w:val="21"/>
        </w:rPr>
      </w:pPr>
      <w:r>
        <w:rPr>
          <w:rFonts w:hint="eastAsia" w:ascii="宋体" w:hAnsi="宋体" w:cs="宋体"/>
          <w:szCs w:val="21"/>
        </w:rPr>
        <w:t>5.1    保修</w:t>
      </w:r>
    </w:p>
    <w:p>
      <w:pPr>
        <w:widowControl/>
        <w:snapToGrid w:val="0"/>
        <w:spacing w:line="360" w:lineRule="auto"/>
        <w:ind w:firstLine="420" w:firstLineChars="200"/>
        <w:jc w:val="left"/>
        <w:rPr>
          <w:rFonts w:ascii="宋体" w:hAnsi="宋体" w:cs="宋体"/>
          <w:szCs w:val="21"/>
        </w:rPr>
      </w:pPr>
      <w:r>
        <w:rPr>
          <w:rFonts w:hint="eastAsia" w:ascii="宋体" w:hAnsi="宋体" w:cs="宋体"/>
          <w:szCs w:val="21"/>
        </w:rPr>
        <w:t xml:space="preserve">   要求由仪器制造厂提供至少一年免费保修服务，终生维修。</w:t>
      </w:r>
    </w:p>
    <w:p>
      <w:pPr>
        <w:widowControl/>
        <w:snapToGrid w:val="0"/>
        <w:spacing w:line="360" w:lineRule="auto"/>
        <w:jc w:val="left"/>
        <w:rPr>
          <w:rFonts w:ascii="宋体" w:hAnsi="宋体" w:cs="宋体"/>
          <w:szCs w:val="21"/>
        </w:rPr>
      </w:pPr>
      <w:r>
        <w:rPr>
          <w:rFonts w:hint="eastAsia" w:ascii="宋体" w:hAnsi="宋体" w:cs="宋体"/>
          <w:szCs w:val="21"/>
        </w:rPr>
        <w:t>5.2    培训</w:t>
      </w:r>
    </w:p>
    <w:p>
      <w:pPr>
        <w:widowControl/>
        <w:snapToGrid w:val="0"/>
        <w:spacing w:line="360" w:lineRule="auto"/>
        <w:ind w:left="426" w:leftChars="202" w:hanging="2"/>
        <w:jc w:val="left"/>
        <w:rPr>
          <w:rFonts w:ascii="宋体" w:hAnsi="宋体" w:cs="宋体"/>
          <w:szCs w:val="21"/>
        </w:rPr>
      </w:pPr>
      <w:r>
        <w:rPr>
          <w:rFonts w:hint="eastAsia" w:ascii="宋体" w:hAnsi="宋体" w:cs="宋体"/>
          <w:szCs w:val="21"/>
        </w:rPr>
        <w:t xml:space="preserve">   原厂培训，为用户提供不低于10人1天有关仪器基本原理，仪器操作、设备维护、设备维</w:t>
      </w:r>
    </w:p>
    <w:p>
      <w:pPr>
        <w:widowControl/>
        <w:snapToGrid w:val="0"/>
        <w:spacing w:line="360" w:lineRule="auto"/>
        <w:ind w:left="426" w:leftChars="202" w:hanging="2"/>
        <w:jc w:val="left"/>
        <w:rPr>
          <w:rFonts w:ascii="宋体" w:hAnsi="宋体" w:cs="宋体"/>
          <w:szCs w:val="21"/>
        </w:rPr>
      </w:pPr>
      <w:r>
        <w:rPr>
          <w:rFonts w:hint="eastAsia" w:ascii="宋体" w:hAnsi="宋体" w:cs="宋体"/>
          <w:szCs w:val="21"/>
        </w:rPr>
        <w:t xml:space="preserve">   修以及数据处理等方面的专业培训。</w:t>
      </w:r>
    </w:p>
    <w:p>
      <w:pPr>
        <w:pStyle w:val="2"/>
      </w:pPr>
    </w:p>
    <w:p>
      <w:pPr>
        <w:numPr>
          <w:ilvl w:val="0"/>
          <w:numId w:val="12"/>
        </w:numPr>
        <w:spacing w:line="360" w:lineRule="auto"/>
        <w:outlineLvl w:val="1"/>
        <w:rPr>
          <w:rFonts w:asciiTheme="minorEastAsia" w:hAnsiTheme="minorEastAsia" w:eastAsiaTheme="minorEastAsia" w:cstheme="minorEastAsia"/>
          <w:b/>
          <w:szCs w:val="21"/>
          <w:lang w:val="zh-CN"/>
        </w:rPr>
      </w:pPr>
      <w:bookmarkStart w:id="196" w:name="_Toc24996"/>
      <w:bookmarkStart w:id="197" w:name="_Toc31146"/>
      <w:r>
        <w:rPr>
          <w:rFonts w:hint="eastAsia" w:asciiTheme="minorEastAsia" w:hAnsiTheme="minorEastAsia" w:eastAsiaTheme="minorEastAsia" w:cstheme="minorEastAsia"/>
          <w:b/>
          <w:szCs w:val="21"/>
        </w:rPr>
        <w:t>项目商务要求</w:t>
      </w:r>
      <w:bookmarkEnd w:id="196"/>
      <w:bookmarkEnd w:id="197"/>
    </w:p>
    <w:p>
      <w:pPr>
        <w:tabs>
          <w:tab w:val="left" w:pos="0"/>
        </w:tabs>
        <w:spacing w:line="360" w:lineRule="auto"/>
        <w:rPr>
          <w:rFonts w:asciiTheme="minorEastAsia" w:hAnsiTheme="minorEastAsia" w:eastAsiaTheme="minorEastAsia" w:cstheme="minorEastAsia"/>
          <w:b/>
          <w:bCs/>
          <w:szCs w:val="21"/>
          <w:lang w:val="zh-CN"/>
        </w:rPr>
      </w:pPr>
      <w:r>
        <w:rPr>
          <w:rFonts w:hint="eastAsia" w:ascii="宋体" w:hAnsi="宋体" w:cstheme="minorEastAsia"/>
          <w:b/>
          <w:bCs/>
        </w:rPr>
        <w:t>1.</w:t>
      </w:r>
      <w:r>
        <w:rPr>
          <w:rFonts w:hint="eastAsia" w:ascii="宋体" w:hAnsi="宋体" w:cstheme="minorEastAsia"/>
          <w:b/>
          <w:bCs/>
        </w:rPr>
        <w:tab/>
      </w:r>
      <w:r>
        <w:rPr>
          <w:rFonts w:hint="eastAsia" w:ascii="宋体" w:hAnsi="宋体" w:cstheme="minorEastAsia"/>
          <w:b/>
          <w:bCs/>
        </w:rPr>
        <w:t>基本要求</w:t>
      </w:r>
    </w:p>
    <w:p>
      <w:pPr>
        <w:adjustRightInd w:val="0"/>
        <w:snapToGrid w:val="0"/>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1）竞选人应具备《中华人民共和国政府采购法》第二十二条规定的条件。</w:t>
      </w:r>
    </w:p>
    <w:p>
      <w:pPr>
        <w:pStyle w:val="2"/>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2）竞选人必须是在中华人民共和国境内注册的具有独立承担民事责任能力的法人，且具有本次采购项目经营、供货及服务能力。</w:t>
      </w:r>
    </w:p>
    <w:p>
      <w:pPr>
        <w:pStyle w:val="3"/>
        <w:spacing w:line="360" w:lineRule="auto"/>
        <w:rPr>
          <w:rFonts w:hint="eastAsia" w:asciiTheme="minorEastAsia" w:hAnsiTheme="minorEastAsia" w:eastAsiaTheme="minorEastAsia" w:cstheme="minorEastAsia"/>
          <w:bCs/>
          <w:spacing w:val="10"/>
          <w:kern w:val="0"/>
          <w:sz w:val="21"/>
          <w:szCs w:val="21"/>
          <w:lang w:val="en-US" w:eastAsia="zh-CN" w:bidi="ar-SA"/>
        </w:rPr>
      </w:pPr>
      <w:r>
        <w:rPr>
          <w:rFonts w:hint="eastAsia" w:asciiTheme="minorEastAsia" w:hAnsiTheme="minorEastAsia" w:eastAsiaTheme="minorEastAsia" w:cstheme="minorEastAsia"/>
          <w:sz w:val="21"/>
          <w:szCs w:val="21"/>
          <w:lang w:val="en-US" w:eastAsia="zh-CN"/>
        </w:rPr>
        <w:t>3）竞选人</w:t>
      </w:r>
      <w:r>
        <w:rPr>
          <w:rFonts w:hint="eastAsia" w:asciiTheme="minorEastAsia" w:hAnsiTheme="minorEastAsia" w:eastAsiaTheme="minorEastAsia" w:cstheme="minorEastAsia"/>
          <w:bCs/>
          <w:spacing w:val="10"/>
          <w:kern w:val="0"/>
          <w:sz w:val="21"/>
          <w:szCs w:val="21"/>
          <w:lang w:val="en-US" w:eastAsia="zh-CN" w:bidi="ar-SA"/>
        </w:rPr>
        <w:t>应提供响应截止前六个月内任意一个月缴纳税收的凭据证明材料复印件；如依法免税的，应提供相应文件证明其依法免税。</w:t>
      </w:r>
    </w:p>
    <w:p>
      <w:pPr>
        <w:pStyle w:val="3"/>
        <w:spacing w:line="360" w:lineRule="auto"/>
        <w:rPr>
          <w:rFonts w:hint="eastAsia" w:asciiTheme="minorEastAsia" w:hAnsiTheme="minorEastAsia" w:eastAsiaTheme="minorEastAsia" w:cstheme="minorEastAsia"/>
          <w:bCs/>
          <w:spacing w:val="10"/>
          <w:kern w:val="0"/>
          <w:sz w:val="21"/>
          <w:szCs w:val="21"/>
          <w:lang w:val="en-US" w:eastAsia="zh-CN" w:bidi="ar-SA"/>
        </w:rPr>
      </w:pPr>
      <w:r>
        <w:rPr>
          <w:rFonts w:hint="eastAsia" w:asciiTheme="minorEastAsia" w:hAnsiTheme="minorEastAsia" w:eastAsiaTheme="minorEastAsia" w:cstheme="minorEastAsia"/>
          <w:bCs/>
          <w:spacing w:val="10"/>
          <w:kern w:val="0"/>
          <w:sz w:val="21"/>
          <w:szCs w:val="21"/>
          <w:lang w:val="en-US" w:eastAsia="zh-CN" w:bidi="ar-SA"/>
        </w:rPr>
        <w:t>4）竞选人应当具备承担采购项目的能力，根据我院所需产品的规格、数量等要求及时送货上门。</w:t>
      </w:r>
    </w:p>
    <w:p>
      <w:pPr>
        <w:pStyle w:val="3"/>
        <w:spacing w:line="360" w:lineRule="auto"/>
        <w:rPr>
          <w:rFonts w:hint="eastAsia" w:asciiTheme="minorEastAsia" w:hAnsiTheme="minorEastAsia" w:eastAsiaTheme="minorEastAsia" w:cstheme="minorEastAsia"/>
          <w:bCs/>
          <w:spacing w:val="10"/>
          <w:kern w:val="0"/>
          <w:sz w:val="21"/>
          <w:szCs w:val="21"/>
          <w:lang w:val="en-US" w:eastAsia="zh-CN" w:bidi="ar-SA"/>
        </w:rPr>
      </w:pPr>
      <w:r>
        <w:rPr>
          <w:rFonts w:hint="eastAsia" w:asciiTheme="minorEastAsia" w:hAnsiTheme="minorEastAsia" w:eastAsiaTheme="minorEastAsia" w:cstheme="minorEastAsia"/>
          <w:bCs/>
          <w:spacing w:val="10"/>
          <w:kern w:val="0"/>
          <w:sz w:val="21"/>
          <w:szCs w:val="21"/>
          <w:lang w:val="en-US" w:eastAsia="zh-CN" w:bidi="ar-SA"/>
        </w:rPr>
        <w:t>5）竞选人必须具有良好的商业经营信誉。须提供参加竞选活动前3年内在经营活动中没有重大违法记录的书面声明。</w:t>
      </w:r>
    </w:p>
    <w:p>
      <w:pPr>
        <w:adjustRightInd w:val="0"/>
        <w:snapToGri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竞选人报价应为完成本项目全部内容所需费用的含税价，包括但不限于货物的设计、制造、包装、仓储、运输、保险、安装、随机零配件、标配工具、调试、试运行、验收、培训、质保期服务、合同实施过程中应预见和不可预见费用、办理银行保函所需的一切费用等的人民币含税价，并按</w:t>
      </w:r>
      <w:bookmarkStart w:id="198" w:name="_Toc435515305"/>
      <w:r>
        <w:rPr>
          <w:rFonts w:hint="eastAsia" w:asciiTheme="minorEastAsia" w:hAnsiTheme="minorEastAsia" w:eastAsiaTheme="minorEastAsia" w:cstheme="minorEastAsia"/>
        </w:rPr>
        <w:t>响应一览表(报价表)</w:t>
      </w:r>
      <w:bookmarkEnd w:id="198"/>
      <w:r>
        <w:rPr>
          <w:rFonts w:hint="eastAsia" w:asciiTheme="minorEastAsia" w:hAnsiTheme="minorEastAsia" w:eastAsiaTheme="minorEastAsia" w:cstheme="minorEastAsia"/>
        </w:rPr>
        <w:t>进行明细报价。</w:t>
      </w:r>
    </w:p>
    <w:p>
      <w:pPr>
        <w:adjustRightInd w:val="0"/>
        <w:snapToGrid w:val="0"/>
        <w:spacing w:line="360" w:lineRule="auto"/>
        <w:rPr>
          <w:rFonts w:asciiTheme="minorEastAsia" w:hAnsiTheme="minorEastAsia" w:eastAsiaTheme="minorEastAsia" w:cstheme="minorEastAsia"/>
          <w:b/>
          <w:bCs/>
          <w:szCs w:val="21"/>
          <w:lang w:val="zh-CN"/>
        </w:rPr>
      </w:pPr>
      <w:r>
        <w:rPr>
          <w:rFonts w:hint="eastAsia" w:asciiTheme="minorEastAsia" w:hAnsiTheme="minorEastAsia" w:eastAsiaTheme="minorEastAsia" w:cstheme="minorEastAsia"/>
          <w:b/>
          <w:bCs/>
        </w:rPr>
        <w:t>2.</w:t>
      </w:r>
      <w:r>
        <w:rPr>
          <w:rFonts w:hint="eastAsia" w:asciiTheme="minorEastAsia" w:hAnsiTheme="minorEastAsia" w:eastAsiaTheme="minorEastAsia" w:cstheme="minorEastAsia"/>
          <w:b/>
          <w:bCs/>
        </w:rPr>
        <w:tab/>
      </w:r>
      <w:r>
        <w:rPr>
          <w:rFonts w:hint="eastAsia" w:asciiTheme="minorEastAsia" w:hAnsiTheme="minorEastAsia" w:eastAsiaTheme="minorEastAsia" w:cstheme="minorEastAsia"/>
          <w:b/>
          <w:bCs/>
        </w:rPr>
        <w:t>项目</w:t>
      </w:r>
      <w:r>
        <w:rPr>
          <w:rFonts w:hint="eastAsia" w:asciiTheme="minorEastAsia" w:hAnsiTheme="minorEastAsia" w:eastAsiaTheme="minorEastAsia" w:cstheme="minorEastAsia"/>
          <w:b/>
          <w:bCs/>
          <w:szCs w:val="21"/>
          <w:lang w:val="zh-CN"/>
        </w:rPr>
        <w:t>进度要求</w:t>
      </w:r>
    </w:p>
    <w:p>
      <w:pPr>
        <w:numPr>
          <w:ilvl w:val="255"/>
          <w:numId w:val="0"/>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1）竞选人应在收到中选通知书后7个工作日内签订合同；    </w:t>
      </w:r>
    </w:p>
    <w:p>
      <w:pPr>
        <w:numPr>
          <w:ilvl w:val="255"/>
          <w:numId w:val="0"/>
        </w:numPr>
        <w:spacing w:line="360" w:lineRule="auto"/>
        <w:rPr>
          <w:lang w:val="zh-CN"/>
        </w:rPr>
      </w:pPr>
      <w:r>
        <w:rPr>
          <w:rFonts w:hint="eastAsia" w:asciiTheme="minorEastAsia" w:hAnsiTheme="minorEastAsia" w:eastAsiaTheme="minorEastAsia" w:cstheme="minorEastAsia"/>
          <w:szCs w:val="21"/>
        </w:rPr>
        <w:t>2）竞选人应</w:t>
      </w:r>
      <w:r>
        <w:rPr>
          <w:rFonts w:hint="eastAsia" w:asciiTheme="minorEastAsia" w:hAnsiTheme="minorEastAsia" w:eastAsiaTheme="minorEastAsia" w:cstheme="minorEastAsia"/>
          <w:szCs w:val="21"/>
          <w:lang w:val="zh-CN"/>
        </w:rPr>
        <w:t>在合同签订之日起</w:t>
      </w:r>
      <w:r>
        <w:rPr>
          <w:rFonts w:hint="eastAsia" w:asciiTheme="minorEastAsia" w:hAnsiTheme="minorEastAsia" w:eastAsiaTheme="minorEastAsia" w:cstheme="minorEastAsia"/>
          <w:szCs w:val="21"/>
          <w:u w:val="single"/>
        </w:rPr>
        <w:t>15</w:t>
      </w:r>
      <w:r>
        <w:rPr>
          <w:rFonts w:hint="eastAsia" w:asciiTheme="minorEastAsia" w:hAnsiTheme="minorEastAsia" w:eastAsiaTheme="minorEastAsia" w:cstheme="minorEastAsia"/>
          <w:szCs w:val="21"/>
        </w:rPr>
        <w:t>日日历日</w:t>
      </w:r>
      <w:r>
        <w:rPr>
          <w:rFonts w:hint="eastAsia" w:asciiTheme="minorEastAsia" w:hAnsiTheme="minorEastAsia" w:eastAsiaTheme="minorEastAsia" w:cstheme="minorEastAsia"/>
          <w:szCs w:val="21"/>
          <w:lang w:val="zh-CN"/>
        </w:rPr>
        <w:t>内完成</w:t>
      </w:r>
      <w:r>
        <w:rPr>
          <w:rFonts w:hint="eastAsia" w:asciiTheme="minorEastAsia" w:hAnsiTheme="minorEastAsia" w:eastAsiaTheme="minorEastAsia" w:cstheme="minorEastAsia"/>
          <w:szCs w:val="21"/>
        </w:rPr>
        <w:t>供货并提供“项目技术参数及要求”当中的培训条件</w:t>
      </w: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w:t>
      </w:r>
      <w:r>
        <w:rPr>
          <w:rFonts w:hint="eastAsia" w:asciiTheme="minorEastAsia" w:hAnsiTheme="minorEastAsia" w:eastAsiaTheme="minorEastAsia" w:cstheme="minorEastAsia"/>
          <w:b/>
          <w:szCs w:val="21"/>
        </w:rPr>
        <w:tab/>
      </w:r>
      <w:r>
        <w:rPr>
          <w:rFonts w:hint="eastAsia" w:asciiTheme="minorEastAsia" w:hAnsiTheme="minorEastAsia" w:eastAsiaTheme="minorEastAsia" w:cstheme="minorEastAsia"/>
          <w:b/>
          <w:szCs w:val="21"/>
        </w:rPr>
        <w:t>交货要求</w:t>
      </w:r>
    </w:p>
    <w:p>
      <w:pPr>
        <w:adjustRightInd w:val="0"/>
        <w:snapToGrid w:val="0"/>
        <w:spacing w:line="360" w:lineRule="auto"/>
        <w:rPr>
          <w:rFonts w:ascii="宋体" w:hAnsi="宋体" w:cstheme="minorEastAsia"/>
        </w:rPr>
      </w:pPr>
      <w:r>
        <w:rPr>
          <w:rFonts w:hint="eastAsia" w:ascii="宋体" w:hAnsi="宋体" w:cstheme="minorEastAsia"/>
        </w:rPr>
        <w:t>1）中选人提供的产品必须是全新的（包括所有零配件、专用工具等），表面无划伤，无碰撞，各项技术参数完全符合本采购文件用户需求书的要求，产品质量应符合国家标准。</w:t>
      </w:r>
    </w:p>
    <w:p>
      <w:pPr>
        <w:adjustRightInd w:val="0"/>
        <w:snapToGrid w:val="0"/>
        <w:spacing w:line="360" w:lineRule="auto"/>
        <w:rPr>
          <w:rFonts w:ascii="宋体" w:hAnsi="宋体" w:cstheme="minorEastAsia"/>
        </w:rPr>
      </w:pPr>
      <w:r>
        <w:rPr>
          <w:rFonts w:hint="eastAsia" w:ascii="宋体" w:hAnsi="宋体" w:cstheme="minorEastAsia"/>
        </w:rPr>
        <w:t>2）在供货期内，所供应货物如需国家强制性认证的，供货时必须同时提供相应产品证书（提供承诺书）。</w:t>
      </w:r>
    </w:p>
    <w:p>
      <w:pPr>
        <w:adjustRightInd w:val="0"/>
        <w:snapToGrid w:val="0"/>
        <w:spacing w:line="360" w:lineRule="auto"/>
        <w:rPr>
          <w:rFonts w:ascii="宋体" w:hAnsi="宋体" w:cstheme="minorEastAsia"/>
        </w:rPr>
      </w:pPr>
      <w:r>
        <w:rPr>
          <w:rFonts w:hint="eastAsia" w:ascii="宋体" w:hAnsi="宋体" w:cstheme="minorEastAsia"/>
        </w:rPr>
        <w:t>3）交货期限：合同签订后</w:t>
      </w:r>
      <w:r>
        <w:rPr>
          <w:rFonts w:hint="eastAsia" w:ascii="宋体" w:hAnsi="宋体" w:cstheme="minorEastAsia"/>
          <w:u w:val="single"/>
        </w:rPr>
        <w:t>15</w:t>
      </w:r>
      <w:r>
        <w:rPr>
          <w:rFonts w:hint="eastAsia" w:ascii="宋体" w:hAnsi="宋体" w:cstheme="minorEastAsia"/>
        </w:rPr>
        <w:t>日历日内完成。</w:t>
      </w:r>
    </w:p>
    <w:p>
      <w:pPr>
        <w:adjustRightInd w:val="0"/>
        <w:snapToGrid w:val="0"/>
        <w:spacing w:line="360" w:lineRule="auto"/>
        <w:rPr>
          <w:rFonts w:ascii="宋体" w:hAnsi="宋体" w:cstheme="minorEastAsia"/>
        </w:rPr>
      </w:pPr>
      <w:r>
        <w:rPr>
          <w:rFonts w:hint="eastAsia" w:ascii="宋体" w:hAnsi="宋体" w:cstheme="minorEastAsia"/>
        </w:rPr>
        <w:t>4）交货地点：广州市番禺区石楼镇潮田工业区珠江路1-2号纤检楼112室</w:t>
      </w:r>
    </w:p>
    <w:p>
      <w:pPr>
        <w:adjustRightInd w:val="0"/>
        <w:snapToGrid w:val="0"/>
        <w:spacing w:line="360" w:lineRule="auto"/>
        <w:rPr>
          <w:rFonts w:ascii="宋体" w:hAnsi="宋体" w:cstheme="minorEastAsia"/>
        </w:rPr>
      </w:pPr>
      <w:r>
        <w:rPr>
          <w:rFonts w:hint="eastAsia" w:ascii="宋体" w:hAnsi="宋体" w:cstheme="minorEastAsia"/>
        </w:rPr>
        <w:t>5）货物在交货时须提供该批次的出厂合格证书和授权书原件。</w:t>
      </w:r>
    </w:p>
    <w:p>
      <w:pPr>
        <w:adjustRightInd w:val="0"/>
        <w:snapToGrid w:val="0"/>
        <w:spacing w:line="360" w:lineRule="auto"/>
        <w:rPr>
          <w:rFonts w:ascii="宋体" w:hAnsi="宋体" w:cstheme="minorEastAsia"/>
        </w:rPr>
      </w:pPr>
      <w:r>
        <w:rPr>
          <w:rFonts w:hint="eastAsia" w:ascii="宋体" w:hAnsi="宋体" w:cstheme="minorEastAsia"/>
        </w:rPr>
        <w:t>6）配送要求：产品由中选人直接配送，配送的产品应按有关要求进行包装并采用适当的运输方式运抵合同交货地点；货物的装卸、搬运由中选人负责，采购人无义务提供装卸工具。</w:t>
      </w:r>
    </w:p>
    <w:p>
      <w:pPr>
        <w:adjustRightInd w:val="0"/>
        <w:snapToGrid w:val="0"/>
        <w:spacing w:line="360" w:lineRule="auto"/>
        <w:rPr>
          <w:rFonts w:ascii="宋体" w:hAnsi="宋体" w:cstheme="minorEastAsia"/>
        </w:rPr>
      </w:pPr>
      <w:r>
        <w:rPr>
          <w:rFonts w:hint="eastAsia" w:ascii="宋体" w:hAnsi="宋体" w:cstheme="minorEastAsia"/>
        </w:rPr>
        <w:t>7）中选人交货时须随附货物清单，且必须提供：货物原出厂产品合格证和相关所投产品的认证证书等有效证明文件。</w:t>
      </w:r>
    </w:p>
    <w:p>
      <w:pPr>
        <w:tabs>
          <w:tab w:val="left" w:pos="0"/>
        </w:tabs>
        <w:spacing w:line="360" w:lineRule="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b/>
          <w:szCs w:val="21"/>
        </w:rPr>
        <w:t>4.</w:t>
      </w:r>
      <w:r>
        <w:rPr>
          <w:rFonts w:hint="eastAsia" w:asciiTheme="minorEastAsia" w:hAnsiTheme="minorEastAsia" w:eastAsiaTheme="minorEastAsia" w:cstheme="minorEastAsia"/>
          <w:b/>
          <w:szCs w:val="21"/>
        </w:rPr>
        <w:tab/>
      </w:r>
      <w:r>
        <w:rPr>
          <w:rFonts w:hint="eastAsia" w:asciiTheme="minorEastAsia" w:hAnsiTheme="minorEastAsia" w:eastAsiaTheme="minorEastAsia" w:cstheme="minorEastAsia"/>
          <w:b/>
          <w:szCs w:val="21"/>
          <w:lang w:val="zh-CN"/>
        </w:rPr>
        <w:t>验收要求</w:t>
      </w:r>
      <w:bookmarkStart w:id="199" w:name="_Toc249263820"/>
      <w:bookmarkStart w:id="200" w:name="_Toc290911794"/>
    </w:p>
    <w:bookmarkEnd w:id="199"/>
    <w:bookmarkEnd w:id="200"/>
    <w:p>
      <w:pPr>
        <w:tabs>
          <w:tab w:val="left" w:pos="0"/>
        </w:tabs>
        <w:spacing w:line="360" w:lineRule="auto"/>
        <w:rPr>
          <w:rFonts w:ascii="宋体" w:hAnsi="宋体" w:cstheme="minorEastAsia"/>
        </w:rPr>
      </w:pPr>
      <w:r>
        <w:rPr>
          <w:rFonts w:hint="eastAsia" w:ascii="宋体" w:hAnsi="宋体" w:cstheme="minorEastAsia"/>
        </w:rPr>
        <w:t>1）验收方法按本项目的技术要求进行。货物质控要求符合采购人的技术参数标准或其他有效方法判断标准要求。</w:t>
      </w:r>
    </w:p>
    <w:p>
      <w:pPr>
        <w:tabs>
          <w:tab w:val="left" w:pos="0"/>
        </w:tabs>
        <w:spacing w:line="360" w:lineRule="auto"/>
        <w:rPr>
          <w:rFonts w:ascii="宋体" w:hAnsi="宋体" w:cstheme="minorEastAsia"/>
        </w:rPr>
      </w:pPr>
      <w:r>
        <w:rPr>
          <w:rFonts w:hint="eastAsia" w:ascii="宋体" w:hAnsi="宋体" w:cstheme="minorEastAsia"/>
        </w:rPr>
        <w:t>2）对不合格的产品，采购人有权退回中选人，所产生的有关费用由中选人承担，采购人不予支付任何费用。</w:t>
      </w:r>
    </w:p>
    <w:p>
      <w:pPr>
        <w:tabs>
          <w:tab w:val="left" w:pos="0"/>
        </w:tabs>
        <w:spacing w:line="360" w:lineRule="auto"/>
        <w:rPr>
          <w:rFonts w:ascii="宋体" w:hAnsi="宋体" w:cstheme="minorEastAsia"/>
        </w:rPr>
      </w:pPr>
      <w:r>
        <w:rPr>
          <w:rFonts w:hint="eastAsia" w:ascii="宋体" w:hAnsi="宋体" w:cstheme="minorEastAsia"/>
        </w:rPr>
        <w:t>3）对于不能在收到货物时当场进行验收的货物，采购人在使用过程中发现有质量问题的，中选人需在5个工作日内无条件换货或退货。</w:t>
      </w:r>
    </w:p>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5.</w:t>
      </w:r>
      <w:r>
        <w:rPr>
          <w:rFonts w:hint="eastAsia" w:asciiTheme="minorEastAsia" w:hAnsiTheme="minorEastAsia" w:eastAsiaTheme="minorEastAsia" w:cstheme="minorEastAsia"/>
          <w:b/>
          <w:szCs w:val="21"/>
        </w:rPr>
        <w:tab/>
      </w:r>
      <w:r>
        <w:rPr>
          <w:rFonts w:hint="eastAsia" w:asciiTheme="minorEastAsia" w:hAnsiTheme="minorEastAsia" w:eastAsiaTheme="minorEastAsia" w:cstheme="minorEastAsia"/>
          <w:b/>
          <w:szCs w:val="21"/>
        </w:rPr>
        <w:t>质保期、售后服务：</w:t>
      </w:r>
    </w:p>
    <w:p>
      <w:pPr>
        <w:pStyle w:val="23"/>
        <w:adjustRightInd w:val="0"/>
        <w:snapToGrid w:val="0"/>
        <w:spacing w:line="360" w:lineRule="auto"/>
        <w:ind w:firstLine="0" w:firstLineChars="0"/>
        <w:rPr>
          <w:rFonts w:ascii="宋体" w:hAnsi="宋体" w:cstheme="minorEastAsia"/>
        </w:rPr>
      </w:pPr>
      <w:r>
        <w:rPr>
          <w:rFonts w:hint="eastAsia" w:ascii="宋体" w:hAnsi="宋体" w:cstheme="minorEastAsia"/>
        </w:rPr>
        <w:t>1）中选人应将其提供的合同货物运抵现场，并经验收合格方可交付采购人。</w:t>
      </w:r>
    </w:p>
    <w:p>
      <w:pPr>
        <w:tabs>
          <w:tab w:val="left" w:pos="426"/>
          <w:tab w:val="left" w:pos="960"/>
        </w:tabs>
        <w:snapToGrid w:val="0"/>
        <w:spacing w:line="360" w:lineRule="auto"/>
        <w:rPr>
          <w:rFonts w:ascii="宋体" w:hAnsi="宋体" w:cs="宋体"/>
          <w:szCs w:val="21"/>
        </w:rPr>
      </w:pPr>
      <w:r>
        <w:rPr>
          <w:rFonts w:hint="eastAsia" w:ascii="宋体" w:hAnsi="宋体" w:cstheme="minorEastAsia"/>
        </w:rPr>
        <w:t>2）</w:t>
      </w:r>
      <w:r>
        <w:rPr>
          <w:rFonts w:hint="eastAsia" w:ascii="宋体" w:hAnsi="宋体" w:cs="宋体"/>
          <w:szCs w:val="21"/>
        </w:rPr>
        <w:t>中选人为采购人提供自验收后不少于 1年的免费维护服务，由</w:t>
      </w:r>
      <w:r>
        <w:rPr>
          <w:rFonts w:hint="eastAsia" w:asciiTheme="minorEastAsia" w:hAnsiTheme="minorEastAsia" w:eastAsiaTheme="minorEastAsia" w:cstheme="minorEastAsia"/>
          <w:kern w:val="0"/>
          <w:szCs w:val="21"/>
        </w:rPr>
        <w:t>原厂工程师服务。</w:t>
      </w:r>
    </w:p>
    <w:p>
      <w:pPr>
        <w:pStyle w:val="23"/>
        <w:adjustRightInd w:val="0"/>
        <w:snapToGrid w:val="0"/>
        <w:spacing w:line="360" w:lineRule="auto"/>
        <w:ind w:firstLine="0" w:firstLineChars="0"/>
        <w:rPr>
          <w:rFonts w:ascii="宋体" w:hAnsi="宋体" w:cstheme="minorEastAsia"/>
        </w:rPr>
      </w:pPr>
      <w:r>
        <w:rPr>
          <w:rFonts w:hint="eastAsia" w:ascii="宋体" w:hAnsi="宋体" w:cstheme="minorEastAsia"/>
        </w:rPr>
        <w:t>3）质保期内正常使用下，因非人为因素损坏的，中选人在收到有关通知后，一周内予以更换，质保期内全部服务费和更换货物的费用由中选人承担。</w:t>
      </w:r>
    </w:p>
    <w:p>
      <w:pPr>
        <w:pStyle w:val="23"/>
        <w:adjustRightInd w:val="0"/>
        <w:snapToGrid w:val="0"/>
        <w:spacing w:line="360" w:lineRule="auto"/>
        <w:ind w:firstLine="0" w:firstLineChars="0"/>
        <w:rPr>
          <w:rFonts w:ascii="宋体" w:hAnsi="宋体" w:cstheme="minorEastAsia"/>
        </w:rPr>
      </w:pPr>
      <w:r>
        <w:rPr>
          <w:rFonts w:hint="eastAsia" w:ascii="宋体" w:hAnsi="宋体" w:cstheme="minorEastAsia"/>
        </w:rPr>
        <w:t>4）质保期内中选人须进行质量“三包”。质保期后，中选人应继续为合同货物的使用提供更换、维修等终身技术支持。</w:t>
      </w:r>
    </w:p>
    <w:p>
      <w:pPr>
        <w:pStyle w:val="23"/>
        <w:adjustRightInd w:val="0"/>
        <w:snapToGrid w:val="0"/>
        <w:spacing w:line="360" w:lineRule="auto"/>
        <w:ind w:firstLine="0" w:firstLineChars="0"/>
        <w:rPr>
          <w:rFonts w:ascii="宋体" w:hAnsi="宋体" w:cstheme="minorEastAsia"/>
        </w:rPr>
      </w:pPr>
      <w:r>
        <w:rPr>
          <w:rFonts w:hint="eastAsia" w:ascii="宋体" w:hAnsi="宋体" w:cstheme="minorEastAsia"/>
        </w:rPr>
        <w:t>5）中选人必须设有售后服务电话热线，保证在接到故障电话后及时响应用户，在收到服务要求时2小时内有专人答复，1 天内有专职工作人员到达现场解决。</w:t>
      </w:r>
    </w:p>
    <w:p>
      <w:pPr>
        <w:pStyle w:val="23"/>
        <w:adjustRightInd w:val="0"/>
        <w:snapToGrid w:val="0"/>
        <w:spacing w:line="360" w:lineRule="auto"/>
        <w:ind w:firstLine="0" w:firstLineChars="0"/>
        <w:rPr>
          <w:rFonts w:ascii="宋体" w:hAnsi="宋体" w:cstheme="minorEastAsia"/>
        </w:rPr>
      </w:pPr>
      <w:r>
        <w:rPr>
          <w:rFonts w:hint="eastAsia" w:ascii="宋体" w:hAnsi="宋体" w:cstheme="minorEastAsia"/>
        </w:rPr>
        <w:t>6）如货物经采购人确定不能达到合同约定的质量标准或厂家的质量标准或检验标准的要求,采购人有权退货,并依法追究中选人的违约责任。</w:t>
      </w:r>
    </w:p>
    <w:p>
      <w:pPr>
        <w:numPr>
          <w:ilvl w:val="255"/>
          <w:numId w:val="0"/>
        </w:numPr>
        <w:spacing w:line="360" w:lineRule="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6.</w:t>
      </w:r>
      <w:r>
        <w:rPr>
          <w:rFonts w:hint="eastAsia" w:asciiTheme="minorEastAsia" w:hAnsiTheme="minorEastAsia" w:eastAsiaTheme="minorEastAsia" w:cstheme="minorEastAsia"/>
          <w:b/>
          <w:bCs/>
          <w:szCs w:val="21"/>
        </w:rPr>
        <w:tab/>
      </w:r>
      <w:r>
        <w:rPr>
          <w:rFonts w:hint="eastAsia" w:asciiTheme="minorEastAsia" w:hAnsiTheme="minorEastAsia" w:eastAsiaTheme="minorEastAsia" w:cstheme="minorEastAsia"/>
          <w:b/>
          <w:bCs/>
          <w:szCs w:val="21"/>
        </w:rPr>
        <w:t>付款方式</w:t>
      </w:r>
    </w:p>
    <w:p>
      <w:pPr>
        <w:spacing w:line="360" w:lineRule="auto"/>
        <w:rPr>
          <w:rFonts w:ascii="宋体" w:hAnsi="宋体"/>
          <w:szCs w:val="21"/>
        </w:rPr>
      </w:pPr>
      <w:r>
        <w:rPr>
          <w:rFonts w:hint="eastAsia" w:ascii="宋体" w:hAnsi="宋体"/>
          <w:szCs w:val="21"/>
        </w:rPr>
        <w:t>本合同的每笔款项均以人民币方式支付，支付方式如下：</w:t>
      </w:r>
    </w:p>
    <w:p>
      <w:pPr>
        <w:spacing w:line="360" w:lineRule="auto"/>
        <w:rPr>
          <w:rFonts w:ascii="宋体" w:hAnsi="宋体"/>
          <w:szCs w:val="21"/>
        </w:rPr>
      </w:pPr>
      <w:r>
        <w:rPr>
          <w:rFonts w:hint="eastAsia" w:ascii="宋体" w:hAnsi="宋体"/>
          <w:szCs w:val="21"/>
        </w:rPr>
        <w:t>1）合同签订生效之日起10个工作日内，采购人凭中选人提供的等额增值税专用正式发票向中选人预付合同总价的50%，为第一期款；</w:t>
      </w:r>
    </w:p>
    <w:p>
      <w:pPr>
        <w:spacing w:line="360" w:lineRule="auto"/>
        <w:rPr>
          <w:rFonts w:hint="eastAsia" w:ascii="宋体" w:hAnsi="宋体"/>
          <w:szCs w:val="21"/>
        </w:rPr>
      </w:pPr>
      <w:r>
        <w:rPr>
          <w:rFonts w:hint="eastAsia" w:ascii="宋体" w:hAnsi="宋体"/>
          <w:szCs w:val="21"/>
        </w:rPr>
        <w:t>2）全部设备安装、调试完毕，并通过采购人组织的验收合格，提交全部验收报告材料后10个工作日内，采购人凭中选人提供的验收报告、送货单等证明交易的依据、等额增值税专用正式发票向中选人支付合同总价的50%，为第二期付款。</w:t>
      </w:r>
    </w:p>
    <w:p>
      <w:pPr>
        <w:pStyle w:val="2"/>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pStyle w:val="3"/>
        <w:rPr>
          <w:rFonts w:hint="eastAsia" w:ascii="宋体" w:hAnsi="宋体"/>
          <w:szCs w:val="21"/>
        </w:rPr>
      </w:pPr>
    </w:p>
    <w:p>
      <w:pPr>
        <w:numPr>
          <w:ilvl w:val="0"/>
          <w:numId w:val="2"/>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bookmarkStart w:id="201" w:name="_Toc1721"/>
      <w:bookmarkStart w:id="202" w:name="_Toc20417_WPSOffice_Level1"/>
      <w:bookmarkStart w:id="203" w:name="_Toc2341910"/>
      <w:bookmarkStart w:id="204" w:name="_Toc2341741"/>
      <w:bookmarkStart w:id="205" w:name="_Toc2341661"/>
      <w:bookmarkStart w:id="206" w:name="_Toc2341334"/>
      <w:bookmarkStart w:id="207" w:name="_Toc18401"/>
      <w:bookmarkStart w:id="208" w:name="_Toc26778"/>
      <w:bookmarkStart w:id="209" w:name="_Toc27164"/>
      <w:bookmarkStart w:id="210" w:name="_Toc533236381"/>
      <w:r>
        <w:rPr>
          <w:rFonts w:hint="eastAsia" w:asciiTheme="minorEastAsia" w:hAnsiTheme="minorEastAsia" w:eastAsiaTheme="minorEastAsia" w:cstheme="minorEastAsia"/>
          <w:b/>
          <w:bCs/>
          <w:sz w:val="28"/>
          <w:szCs w:val="28"/>
        </w:rPr>
        <w:t>评审方式及程序</w:t>
      </w:r>
      <w:bookmarkEnd w:id="201"/>
      <w:bookmarkEnd w:id="202"/>
      <w:bookmarkEnd w:id="203"/>
      <w:bookmarkEnd w:id="204"/>
      <w:bookmarkEnd w:id="205"/>
      <w:bookmarkEnd w:id="206"/>
      <w:bookmarkEnd w:id="207"/>
      <w:bookmarkEnd w:id="208"/>
      <w:bookmarkEnd w:id="209"/>
      <w:bookmarkEnd w:id="210"/>
    </w:p>
    <w:p>
      <w:pPr>
        <w:numPr>
          <w:ilvl w:val="0"/>
          <w:numId w:val="18"/>
        </w:numPr>
        <w:tabs>
          <w:tab w:val="left" w:pos="0"/>
        </w:tabs>
        <w:spacing w:line="360" w:lineRule="auto"/>
        <w:outlineLvl w:val="1"/>
        <w:rPr>
          <w:rFonts w:asciiTheme="minorEastAsia" w:hAnsiTheme="minorEastAsia" w:eastAsiaTheme="minorEastAsia" w:cstheme="minorEastAsia"/>
          <w:b/>
          <w:szCs w:val="21"/>
        </w:rPr>
      </w:pPr>
      <w:bookmarkStart w:id="211" w:name="_Toc50276153"/>
      <w:bookmarkStart w:id="212" w:name="_Toc42394513"/>
      <w:bookmarkStart w:id="213" w:name="_Toc101771375"/>
      <w:bookmarkStart w:id="214" w:name="_Toc98580289"/>
      <w:bookmarkStart w:id="215" w:name="_Toc98579065"/>
      <w:bookmarkStart w:id="216" w:name="_Toc98579606"/>
      <w:bookmarkStart w:id="217" w:name="_Toc264203535"/>
      <w:bookmarkStart w:id="218" w:name="_Toc98579007"/>
      <w:bookmarkStart w:id="219" w:name="_Toc101951266"/>
      <w:bookmarkStart w:id="220" w:name="_Toc101775128"/>
      <w:bookmarkStart w:id="221" w:name="_Toc42394669"/>
      <w:bookmarkStart w:id="222" w:name="_Toc101843128"/>
      <w:bookmarkStart w:id="223" w:name="_Toc3386"/>
      <w:bookmarkStart w:id="224" w:name="_Toc2341911"/>
      <w:bookmarkStart w:id="225" w:name="_Toc19170"/>
      <w:bookmarkStart w:id="226" w:name="_Toc2341335"/>
      <w:bookmarkStart w:id="227" w:name="_Toc2341662"/>
      <w:bookmarkStart w:id="228" w:name="_Toc2341742"/>
      <w:r>
        <w:rPr>
          <w:rFonts w:hint="eastAsia" w:asciiTheme="minorEastAsia" w:hAnsiTheme="minorEastAsia" w:eastAsiaTheme="minorEastAsia" w:cstheme="minorEastAsia"/>
          <w:b/>
          <w:szCs w:val="21"/>
        </w:rPr>
        <w:t>评</w:t>
      </w:r>
      <w:bookmarkEnd w:id="211"/>
      <w:bookmarkEnd w:id="212"/>
      <w:bookmarkEnd w:id="213"/>
      <w:bookmarkEnd w:id="214"/>
      <w:bookmarkEnd w:id="215"/>
      <w:bookmarkEnd w:id="216"/>
      <w:bookmarkEnd w:id="217"/>
      <w:bookmarkEnd w:id="218"/>
      <w:bookmarkEnd w:id="219"/>
      <w:bookmarkEnd w:id="220"/>
      <w:bookmarkEnd w:id="221"/>
      <w:bookmarkEnd w:id="222"/>
      <w:r>
        <w:rPr>
          <w:rFonts w:hint="eastAsia" w:asciiTheme="minorEastAsia" w:hAnsiTheme="minorEastAsia" w:eastAsiaTheme="minorEastAsia" w:cstheme="minorEastAsia"/>
          <w:b/>
          <w:szCs w:val="21"/>
        </w:rPr>
        <w:t>审方式</w:t>
      </w:r>
      <w:bookmarkEnd w:id="223"/>
      <w:bookmarkEnd w:id="224"/>
      <w:bookmarkEnd w:id="225"/>
      <w:bookmarkEnd w:id="226"/>
      <w:bookmarkEnd w:id="227"/>
      <w:bookmarkEnd w:id="228"/>
    </w:p>
    <w:p>
      <w:pPr>
        <w:numPr>
          <w:ilvl w:val="2"/>
          <w:numId w:val="12"/>
        </w:numPr>
        <w:spacing w:line="360" w:lineRule="auto"/>
        <w:rPr>
          <w:rFonts w:asciiTheme="minorEastAsia" w:hAnsiTheme="minorEastAsia" w:eastAsiaTheme="minorEastAsia" w:cstheme="minorEastAsia"/>
          <w:bCs/>
          <w:szCs w:val="21"/>
        </w:rPr>
      </w:pPr>
      <w:bookmarkStart w:id="229" w:name="_Toc2341743"/>
      <w:bookmarkStart w:id="230" w:name="_Toc2341336"/>
      <w:r>
        <w:rPr>
          <w:rFonts w:hint="eastAsia" w:asciiTheme="minorEastAsia" w:hAnsiTheme="minorEastAsia" w:eastAsiaTheme="minorEastAsia" w:cstheme="minorEastAsia"/>
          <w:bCs/>
          <w:szCs w:val="21"/>
        </w:rPr>
        <w:t>本次采购由广州检验检测认证集团有限公司采购评审小组进行评审。</w:t>
      </w:r>
      <w:bookmarkEnd w:id="229"/>
      <w:bookmarkEnd w:id="230"/>
    </w:p>
    <w:p>
      <w:pPr>
        <w:numPr>
          <w:ilvl w:val="2"/>
          <w:numId w:val="12"/>
        </w:numPr>
        <w:spacing w:line="360" w:lineRule="auto"/>
        <w:rPr>
          <w:rFonts w:asciiTheme="minorEastAsia" w:hAnsiTheme="minorEastAsia" w:eastAsiaTheme="minorEastAsia" w:cstheme="minorEastAsia"/>
          <w:bCs/>
          <w:szCs w:val="21"/>
        </w:rPr>
      </w:pPr>
      <w:bookmarkStart w:id="231" w:name="_Toc2341337"/>
      <w:bookmarkStart w:id="232" w:name="_Toc2341744"/>
      <w:r>
        <w:rPr>
          <w:rFonts w:hint="eastAsia" w:asciiTheme="minorEastAsia" w:hAnsiTheme="minorEastAsia" w:eastAsiaTheme="minorEastAsia" w:cstheme="minorEastAsia"/>
          <w:bCs/>
          <w:szCs w:val="21"/>
        </w:rPr>
        <w:t>本次评审采用综合评分法。评审以采购文件规定的条件为依据。评分比重构成如下：</w:t>
      </w:r>
      <w:bookmarkEnd w:id="231"/>
      <w:bookmarkEnd w:id="232"/>
    </w:p>
    <w:tbl>
      <w:tblPr>
        <w:tblStyle w:val="21"/>
        <w:tblW w:w="7134"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089"/>
        <w:gridCol w:w="1154"/>
        <w:gridCol w:w="1119"/>
        <w:gridCol w:w="23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shd w:val="clear" w:color="auto" w:fill="D0CECE" w:themeFill="background2" w:themeFillShade="E6"/>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bookmarkStart w:id="233" w:name="_Toc29050"/>
            <w:bookmarkStart w:id="234" w:name="_Toc6200"/>
            <w:bookmarkStart w:id="235" w:name="_Toc28117"/>
            <w:r>
              <w:rPr>
                <w:rFonts w:hint="eastAsia" w:asciiTheme="minorEastAsia" w:hAnsiTheme="minorEastAsia" w:eastAsiaTheme="minorEastAsia" w:cstheme="minorEastAsia"/>
                <w:szCs w:val="21"/>
              </w:rPr>
              <w:t>评分项目</w:t>
            </w:r>
            <w:bookmarkEnd w:id="233"/>
            <w:bookmarkEnd w:id="234"/>
            <w:bookmarkEnd w:id="235"/>
          </w:p>
        </w:tc>
        <w:tc>
          <w:tcPr>
            <w:tcW w:w="1089" w:type="dxa"/>
            <w:shd w:val="clear" w:color="auto" w:fill="D0CECE" w:themeFill="background2" w:themeFillShade="E6"/>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bookmarkStart w:id="236" w:name="_Toc11990"/>
            <w:bookmarkStart w:id="237" w:name="_Toc26944"/>
            <w:bookmarkStart w:id="238" w:name="_Toc19780"/>
            <w:r>
              <w:rPr>
                <w:rFonts w:hint="eastAsia" w:asciiTheme="minorEastAsia" w:hAnsiTheme="minorEastAsia" w:eastAsiaTheme="minorEastAsia" w:cstheme="minorEastAsia"/>
                <w:szCs w:val="21"/>
              </w:rPr>
              <w:t>技术部分</w:t>
            </w:r>
            <w:bookmarkEnd w:id="236"/>
            <w:bookmarkEnd w:id="237"/>
            <w:bookmarkEnd w:id="238"/>
          </w:p>
        </w:tc>
        <w:tc>
          <w:tcPr>
            <w:tcW w:w="1154" w:type="dxa"/>
            <w:shd w:val="clear" w:color="auto" w:fill="D0CECE" w:themeFill="background2" w:themeFillShade="E6"/>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bookmarkStart w:id="239" w:name="_Toc24734"/>
            <w:bookmarkStart w:id="240" w:name="_Toc191"/>
            <w:bookmarkStart w:id="241" w:name="_Toc20591"/>
            <w:r>
              <w:rPr>
                <w:rFonts w:hint="eastAsia" w:asciiTheme="minorEastAsia" w:hAnsiTheme="minorEastAsia" w:eastAsiaTheme="minorEastAsia" w:cstheme="minorEastAsia"/>
                <w:szCs w:val="21"/>
              </w:rPr>
              <w:t>商务部分</w:t>
            </w:r>
          </w:p>
          <w:bookmarkEnd w:id="239"/>
          <w:bookmarkEnd w:id="240"/>
          <w:bookmarkEnd w:id="241"/>
        </w:tc>
        <w:tc>
          <w:tcPr>
            <w:tcW w:w="1119" w:type="dxa"/>
            <w:shd w:val="clear" w:color="auto" w:fill="D0CECE" w:themeFill="background2" w:themeFillShade="E6"/>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价格部分</w:t>
            </w:r>
          </w:p>
        </w:tc>
        <w:tc>
          <w:tcPr>
            <w:tcW w:w="2354" w:type="dxa"/>
            <w:shd w:val="clear" w:color="auto" w:fill="D0CECE" w:themeFill="background2" w:themeFillShade="E6"/>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bookmarkStart w:id="242" w:name="_Toc27322"/>
            <w:bookmarkStart w:id="243" w:name="_Toc30525"/>
            <w:bookmarkStart w:id="244" w:name="_Toc1293"/>
            <w:r>
              <w:rPr>
                <w:rFonts w:hint="eastAsia" w:asciiTheme="minorEastAsia" w:hAnsiTheme="minorEastAsia" w:eastAsiaTheme="minorEastAsia" w:cstheme="minorEastAsia"/>
                <w:szCs w:val="21"/>
              </w:rPr>
              <w:t>总分</w:t>
            </w:r>
            <w:bookmarkEnd w:id="242"/>
            <w:bookmarkEnd w:id="243"/>
            <w:bookmarkEnd w:id="24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8" w:type="dxa"/>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bookmarkStart w:id="245" w:name="_Toc28806"/>
            <w:bookmarkStart w:id="246" w:name="_Toc25080"/>
            <w:bookmarkStart w:id="247" w:name="_Toc20546"/>
            <w:r>
              <w:rPr>
                <w:rFonts w:hint="eastAsia" w:asciiTheme="minorEastAsia" w:hAnsiTheme="minorEastAsia" w:eastAsiaTheme="minorEastAsia" w:cstheme="minorEastAsia"/>
                <w:szCs w:val="21"/>
              </w:rPr>
              <w:t>分值</w:t>
            </w:r>
            <w:bookmarkEnd w:id="245"/>
            <w:bookmarkEnd w:id="246"/>
            <w:bookmarkEnd w:id="247"/>
          </w:p>
        </w:tc>
        <w:tc>
          <w:tcPr>
            <w:tcW w:w="1089" w:type="dxa"/>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45</w:t>
            </w:r>
          </w:p>
        </w:tc>
        <w:tc>
          <w:tcPr>
            <w:tcW w:w="1154" w:type="dxa"/>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bookmarkStart w:id="248" w:name="_Toc25086"/>
            <w:bookmarkStart w:id="249" w:name="_Toc6698"/>
            <w:bookmarkStart w:id="250" w:name="_Toc12592"/>
            <w:r>
              <w:rPr>
                <w:rFonts w:hint="eastAsia" w:asciiTheme="minorEastAsia" w:hAnsiTheme="minorEastAsia" w:eastAsiaTheme="minorEastAsia" w:cstheme="minorEastAsia"/>
                <w:szCs w:val="21"/>
              </w:rPr>
              <w:t>20</w:t>
            </w:r>
          </w:p>
          <w:bookmarkEnd w:id="248"/>
          <w:bookmarkEnd w:id="249"/>
          <w:bookmarkEnd w:id="250"/>
        </w:tc>
        <w:tc>
          <w:tcPr>
            <w:tcW w:w="1119" w:type="dxa"/>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35</w:t>
            </w:r>
          </w:p>
        </w:tc>
        <w:tc>
          <w:tcPr>
            <w:tcW w:w="2354" w:type="dxa"/>
            <w:vAlign w:val="center"/>
          </w:tcPr>
          <w:p>
            <w:pPr>
              <w:adjustRightInd w:val="0"/>
              <w:snapToGrid w:val="0"/>
              <w:spacing w:beforeLines="50" w:afterLines="50" w:line="360" w:lineRule="auto"/>
              <w:jc w:val="center"/>
              <w:rPr>
                <w:rFonts w:asciiTheme="minorEastAsia" w:hAnsiTheme="minorEastAsia" w:eastAsiaTheme="minorEastAsia" w:cstheme="minorEastAsia"/>
                <w:szCs w:val="21"/>
              </w:rPr>
            </w:pPr>
            <w:bookmarkStart w:id="251" w:name="_Toc4012"/>
            <w:bookmarkStart w:id="252" w:name="_Toc19675"/>
            <w:bookmarkStart w:id="253" w:name="_Toc23067"/>
            <w:r>
              <w:rPr>
                <w:rFonts w:hint="eastAsia" w:asciiTheme="minorEastAsia" w:hAnsiTheme="minorEastAsia" w:eastAsiaTheme="minorEastAsia" w:cstheme="minorEastAsia"/>
                <w:szCs w:val="21"/>
              </w:rPr>
              <w:t>100</w:t>
            </w:r>
            <w:bookmarkEnd w:id="251"/>
            <w:bookmarkEnd w:id="252"/>
            <w:bookmarkEnd w:id="253"/>
          </w:p>
        </w:tc>
      </w:tr>
    </w:tbl>
    <w:p>
      <w:pPr>
        <w:pStyle w:val="2"/>
        <w:rPr>
          <w:rFonts w:asciiTheme="minorEastAsia" w:hAnsiTheme="minorEastAsia" w:eastAsiaTheme="minorEastAsia" w:cstheme="minorEastAsia"/>
          <w:b/>
          <w:szCs w:val="21"/>
        </w:rPr>
      </w:pPr>
    </w:p>
    <w:p>
      <w:pPr>
        <w:numPr>
          <w:ilvl w:val="0"/>
          <w:numId w:val="18"/>
        </w:numPr>
        <w:tabs>
          <w:tab w:val="left" w:pos="0"/>
        </w:tabs>
        <w:spacing w:line="360" w:lineRule="auto"/>
        <w:outlineLvl w:val="1"/>
        <w:rPr>
          <w:rFonts w:asciiTheme="minorEastAsia" w:hAnsiTheme="minorEastAsia" w:eastAsiaTheme="minorEastAsia" w:cstheme="minorEastAsia"/>
          <w:b/>
          <w:szCs w:val="21"/>
        </w:rPr>
      </w:pPr>
      <w:bookmarkStart w:id="254" w:name="_Toc2341663"/>
      <w:bookmarkStart w:id="255" w:name="_Toc15977"/>
      <w:bookmarkStart w:id="256" w:name="_Toc264203536"/>
      <w:bookmarkStart w:id="257" w:name="_Toc101951267"/>
      <w:bookmarkStart w:id="258" w:name="_Toc2341338"/>
      <w:bookmarkStart w:id="259" w:name="_Toc101775129"/>
      <w:bookmarkStart w:id="260" w:name="_Toc101843129"/>
      <w:bookmarkStart w:id="261" w:name="_Toc101771376"/>
      <w:bookmarkStart w:id="262" w:name="_Toc11622"/>
      <w:bookmarkStart w:id="263" w:name="_Toc2341912"/>
      <w:bookmarkStart w:id="264" w:name="_Toc2341745"/>
      <w:r>
        <w:rPr>
          <w:rFonts w:hint="eastAsia" w:asciiTheme="minorEastAsia" w:hAnsiTheme="minorEastAsia" w:eastAsiaTheme="minorEastAsia" w:cstheme="minorEastAsia"/>
          <w:b/>
          <w:szCs w:val="21"/>
        </w:rPr>
        <w:t>评审程序</w:t>
      </w:r>
      <w:bookmarkEnd w:id="254"/>
      <w:bookmarkEnd w:id="255"/>
      <w:bookmarkEnd w:id="256"/>
      <w:bookmarkEnd w:id="257"/>
      <w:bookmarkEnd w:id="258"/>
      <w:bookmarkEnd w:id="259"/>
      <w:bookmarkEnd w:id="260"/>
      <w:bookmarkEnd w:id="261"/>
      <w:bookmarkEnd w:id="262"/>
      <w:bookmarkEnd w:id="263"/>
      <w:bookmarkEnd w:id="264"/>
    </w:p>
    <w:p>
      <w:pPr>
        <w:numPr>
          <w:ilvl w:val="2"/>
          <w:numId w:val="12"/>
        </w:numPr>
        <w:spacing w:line="360" w:lineRule="auto"/>
        <w:outlineLvl w:val="2"/>
        <w:rPr>
          <w:rFonts w:asciiTheme="minorEastAsia" w:hAnsiTheme="minorEastAsia" w:eastAsiaTheme="minorEastAsia" w:cstheme="minorEastAsia"/>
          <w:b/>
          <w:szCs w:val="21"/>
        </w:rPr>
      </w:pPr>
      <w:bookmarkStart w:id="265" w:name="_Toc23998"/>
      <w:bookmarkStart w:id="266" w:name="_Toc2341746"/>
      <w:bookmarkStart w:id="267" w:name="_Toc13064"/>
      <w:bookmarkStart w:id="268" w:name="_Toc2341339"/>
      <w:r>
        <w:rPr>
          <w:rFonts w:hint="eastAsia" w:asciiTheme="minorEastAsia" w:hAnsiTheme="minorEastAsia" w:eastAsiaTheme="minorEastAsia" w:cstheme="minorEastAsia"/>
          <w:b/>
          <w:szCs w:val="21"/>
        </w:rPr>
        <w:t>响应文件符合性审查</w:t>
      </w:r>
      <w:bookmarkEnd w:id="265"/>
      <w:bookmarkEnd w:id="266"/>
      <w:bookmarkEnd w:id="267"/>
      <w:bookmarkEnd w:id="268"/>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项目采购评审小组将根据评审细则的规定，对各响应文件进行资格性审查和符合性审查</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内容详见附表一</w:t>
      </w:r>
      <w:r>
        <w:rPr>
          <w:rFonts w:hint="eastAsia" w:asciiTheme="minorEastAsia" w:hAnsiTheme="minorEastAsia" w:eastAsiaTheme="minorEastAsia" w:cstheme="minorEastAsia"/>
          <w:bCs/>
          <w:szCs w:val="21"/>
        </w:rPr>
        <w:t>。</w:t>
      </w:r>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响应文件出现下列情况之一时将被认定为无效响应：</w:t>
      </w:r>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响应人不具备采购文件中规定资格要求的；</w:t>
      </w:r>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69" w:name="_Toc533236383"/>
      <w:r>
        <w:rPr>
          <w:rFonts w:hint="eastAsia" w:asciiTheme="minorEastAsia" w:hAnsiTheme="minorEastAsia" w:eastAsiaTheme="minorEastAsia" w:cstheme="minorEastAsia"/>
          <w:bCs/>
          <w:szCs w:val="21"/>
        </w:rPr>
        <w:t>响应报价不是唯一，高于采购人需求规定的最高限价或低于成本价响应且未能提供相关证明材料的；</w:t>
      </w:r>
      <w:bookmarkEnd w:id="269"/>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70" w:name="_Toc334797744"/>
      <w:bookmarkStart w:id="271" w:name="_Toc533236384"/>
      <w:r>
        <w:rPr>
          <w:rFonts w:hint="eastAsia" w:asciiTheme="minorEastAsia" w:hAnsiTheme="minorEastAsia" w:eastAsiaTheme="minorEastAsia" w:cstheme="minorEastAsia"/>
          <w:bCs/>
          <w:szCs w:val="21"/>
        </w:rPr>
        <w:t>响应文件未按采购文件的要求盖章及由法定代表人(或法定代表人委托的代理人)的印鉴或签名的；</w:t>
      </w:r>
      <w:bookmarkEnd w:id="270"/>
      <w:bookmarkEnd w:id="271"/>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72" w:name="_Toc533236385"/>
      <w:bookmarkStart w:id="273" w:name="_Toc334797745"/>
      <w:r>
        <w:rPr>
          <w:rFonts w:hint="eastAsia" w:asciiTheme="minorEastAsia" w:hAnsiTheme="minorEastAsia" w:eastAsiaTheme="minorEastAsia" w:cstheme="minorEastAsia"/>
          <w:bCs/>
          <w:szCs w:val="21"/>
        </w:rPr>
        <w:t>响应文件没有提供有效的法定代表人证明及授权书；</w:t>
      </w:r>
      <w:bookmarkEnd w:id="272"/>
      <w:bookmarkEnd w:id="273"/>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74" w:name="_Toc533236386"/>
      <w:bookmarkStart w:id="275" w:name="_Toc334797747"/>
      <w:r>
        <w:rPr>
          <w:rFonts w:hint="eastAsia" w:asciiTheme="minorEastAsia" w:hAnsiTheme="minorEastAsia" w:eastAsiaTheme="minorEastAsia" w:cstheme="minorEastAsia"/>
          <w:bCs/>
          <w:szCs w:val="21"/>
        </w:rPr>
        <w:t>响应文件未完全满足采购文件中带★号的条款和指标，或不符合采购文件的其他要求，有重大偏离的；</w:t>
      </w:r>
      <w:bookmarkEnd w:id="274"/>
      <w:bookmarkEnd w:id="275"/>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76" w:name="_Toc533236387"/>
      <w:bookmarkStart w:id="277" w:name="_Toc334797748"/>
      <w:r>
        <w:rPr>
          <w:rFonts w:hint="eastAsia" w:asciiTheme="minorEastAsia" w:hAnsiTheme="minorEastAsia" w:eastAsiaTheme="minorEastAsia" w:cstheme="minorEastAsia"/>
          <w:bCs/>
          <w:szCs w:val="21"/>
        </w:rPr>
        <w:t>评审期间，响应人没有按评审小组的要求提交经授权代表签字的澄清、说明、补正或改变了响应文件的实质性内容的；</w:t>
      </w:r>
      <w:bookmarkEnd w:id="276"/>
      <w:bookmarkEnd w:id="277"/>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78" w:name="_Toc334797749"/>
      <w:bookmarkStart w:id="279" w:name="_Toc533236388"/>
      <w:r>
        <w:rPr>
          <w:rFonts w:hint="eastAsia" w:asciiTheme="minorEastAsia" w:hAnsiTheme="minorEastAsia" w:eastAsiaTheme="minorEastAsia" w:cstheme="minorEastAsia"/>
          <w:bCs/>
          <w:szCs w:val="21"/>
        </w:rPr>
        <w:t>经评审小组认定响应文件提供虚假材料的；</w:t>
      </w:r>
      <w:bookmarkEnd w:id="278"/>
      <w:bookmarkEnd w:id="279"/>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80" w:name="_Toc533236389"/>
      <w:bookmarkStart w:id="281" w:name="_Toc334797750"/>
      <w:r>
        <w:rPr>
          <w:rFonts w:hint="eastAsia" w:asciiTheme="minorEastAsia" w:hAnsiTheme="minorEastAsia" w:eastAsiaTheme="minorEastAsia" w:cstheme="minorEastAsia"/>
          <w:bCs/>
          <w:szCs w:val="21"/>
        </w:rPr>
        <w:t>响应人以他人的名义响应、串通、以行贿手段谋取成交或者以其他弄虚作假方式的；</w:t>
      </w:r>
      <w:bookmarkEnd w:id="280"/>
      <w:bookmarkEnd w:id="281"/>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82" w:name="_Toc533236390"/>
      <w:bookmarkStart w:id="283" w:name="_Toc334797751"/>
      <w:r>
        <w:rPr>
          <w:rFonts w:hint="eastAsia" w:asciiTheme="minorEastAsia" w:hAnsiTheme="minorEastAsia" w:eastAsiaTheme="minorEastAsia" w:cstheme="minorEastAsia"/>
          <w:bCs/>
          <w:szCs w:val="21"/>
        </w:rPr>
        <w:t>响应人对采购人、评审小组及其工作人员施加影响，有碍评审公平、公正的；</w:t>
      </w:r>
      <w:bookmarkEnd w:id="282"/>
      <w:bookmarkEnd w:id="283"/>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84" w:name="_Toc334797752"/>
      <w:bookmarkStart w:id="285" w:name="_Toc533236391"/>
      <w:r>
        <w:rPr>
          <w:rFonts w:hint="eastAsia" w:asciiTheme="minorEastAsia" w:hAnsiTheme="minorEastAsia" w:eastAsiaTheme="minorEastAsia" w:cstheme="minorEastAsia"/>
          <w:bCs/>
          <w:szCs w:val="21"/>
        </w:rPr>
        <w:t>响应文件附有采购人不能接受的条件；</w:t>
      </w:r>
      <w:bookmarkEnd w:id="284"/>
      <w:bookmarkEnd w:id="285"/>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bookmarkStart w:id="286" w:name="_Toc334797753"/>
      <w:bookmarkStart w:id="287" w:name="_Toc533236392"/>
      <w:r>
        <w:rPr>
          <w:rFonts w:hint="eastAsia" w:asciiTheme="minorEastAsia" w:hAnsiTheme="minorEastAsia" w:eastAsiaTheme="minorEastAsia" w:cstheme="minorEastAsia"/>
          <w:bCs/>
          <w:szCs w:val="21"/>
        </w:rPr>
        <w:t>出现不符合相关法律、法规要求的情况的。</w:t>
      </w:r>
      <w:bookmarkEnd w:id="286"/>
      <w:bookmarkEnd w:id="287"/>
    </w:p>
    <w:p>
      <w:pPr>
        <w:numPr>
          <w:ilvl w:val="2"/>
          <w:numId w:val="12"/>
        </w:numPr>
        <w:spacing w:line="360" w:lineRule="auto"/>
        <w:outlineLvl w:val="2"/>
        <w:rPr>
          <w:rFonts w:asciiTheme="minorEastAsia" w:hAnsiTheme="minorEastAsia" w:eastAsiaTheme="minorEastAsia" w:cstheme="minorEastAsia"/>
          <w:b/>
          <w:szCs w:val="21"/>
        </w:rPr>
      </w:pPr>
      <w:bookmarkStart w:id="288" w:name="_Toc8119"/>
      <w:bookmarkStart w:id="289" w:name="_Toc2341747"/>
      <w:bookmarkStart w:id="290" w:name="_Toc11299"/>
      <w:bookmarkStart w:id="291" w:name="_Toc2341340"/>
      <w:r>
        <w:rPr>
          <w:rFonts w:hint="eastAsia" w:asciiTheme="minorEastAsia" w:hAnsiTheme="minorEastAsia" w:eastAsiaTheme="minorEastAsia" w:cstheme="minorEastAsia"/>
          <w:b/>
          <w:szCs w:val="21"/>
        </w:rPr>
        <w:t>响应文件的澄清</w:t>
      </w:r>
      <w:bookmarkEnd w:id="288"/>
      <w:bookmarkEnd w:id="289"/>
      <w:bookmarkEnd w:id="290"/>
      <w:bookmarkEnd w:id="291"/>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对响应文件中含义不明确、同类问题表述不一致或者有明显文字和计算错误的内容，项目采购评审小组可以书面形式要求响应人作出必要的澄清、说明或者纠正。</w:t>
      </w:r>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响应人的澄清、说明或者补正应当采用书面形式，由其授权的代表签字，并不得超出响应文件的范围或者改变响应文件的实质性内容。</w:t>
      </w:r>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除上述规定的情形之外，项目采购评审小组在评审过程中，不得接收来自评审现场以外的任何形式的文件资料。</w:t>
      </w:r>
    </w:p>
    <w:p>
      <w:pPr>
        <w:numPr>
          <w:ilvl w:val="2"/>
          <w:numId w:val="12"/>
        </w:numPr>
        <w:spacing w:line="360" w:lineRule="auto"/>
        <w:outlineLvl w:val="2"/>
        <w:rPr>
          <w:rFonts w:asciiTheme="minorEastAsia" w:hAnsiTheme="minorEastAsia" w:eastAsiaTheme="minorEastAsia" w:cstheme="minorEastAsia"/>
          <w:b/>
          <w:szCs w:val="21"/>
        </w:rPr>
      </w:pPr>
      <w:bookmarkStart w:id="292" w:name="_Toc2341748"/>
      <w:bookmarkStart w:id="293" w:name="_Toc2341341"/>
      <w:bookmarkStart w:id="294" w:name="_Toc11643"/>
      <w:bookmarkStart w:id="295" w:name="_Toc4305"/>
      <w:r>
        <w:rPr>
          <w:rFonts w:hint="eastAsia" w:asciiTheme="minorEastAsia" w:hAnsiTheme="minorEastAsia" w:eastAsiaTheme="minorEastAsia" w:cstheme="minorEastAsia"/>
          <w:b/>
          <w:szCs w:val="21"/>
        </w:rPr>
        <w:t>比较与</w:t>
      </w:r>
      <w:bookmarkEnd w:id="292"/>
      <w:bookmarkEnd w:id="293"/>
      <w:r>
        <w:rPr>
          <w:rFonts w:hint="eastAsia" w:asciiTheme="minorEastAsia" w:hAnsiTheme="minorEastAsia" w:eastAsiaTheme="minorEastAsia" w:cstheme="minorEastAsia"/>
          <w:b/>
          <w:szCs w:val="21"/>
        </w:rPr>
        <w:t>评审</w:t>
      </w:r>
      <w:bookmarkEnd w:id="294"/>
      <w:bookmarkEnd w:id="295"/>
    </w:p>
    <w:p>
      <w:pPr>
        <w:adjustRightInd w:val="0"/>
        <w:snapToGrid w:val="0"/>
        <w:spacing w:beforeLines="50" w:afterLines="50"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bookmarkStart w:id="296" w:name="_Toc8799"/>
      <w:bookmarkStart w:id="297" w:name="_Toc565"/>
      <w:bookmarkStart w:id="298" w:name="_Toc24649"/>
      <w:r>
        <w:rPr>
          <w:rFonts w:hint="eastAsia" w:asciiTheme="minorEastAsia" w:hAnsiTheme="minorEastAsia" w:eastAsiaTheme="minorEastAsia" w:cstheme="minorEastAsia"/>
          <w:szCs w:val="21"/>
        </w:rPr>
        <w:t>由评委对所有有效响应文件的技术、商务、价格部分进行审核和分析，填写《评审打分表》。评分内容详见附表二、附表三。</w:t>
      </w:r>
      <w:bookmarkEnd w:id="296"/>
      <w:bookmarkEnd w:id="297"/>
      <w:bookmarkEnd w:id="298"/>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技术评分：</w:t>
      </w:r>
    </w:p>
    <w:p>
      <w:pPr>
        <w:tabs>
          <w:tab w:val="left" w:pos="397"/>
        </w:tabs>
        <w:spacing w:line="360" w:lineRule="auto"/>
        <w:ind w:left="397"/>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将各个评委的技术评分汇总，进行算术平均，得出该响应人的技术评分。</w:t>
      </w:r>
    </w:p>
    <w:p>
      <w:pPr>
        <w:numPr>
          <w:ilvl w:val="3"/>
          <w:numId w:val="12"/>
        </w:numPr>
        <w:tabs>
          <w:tab w:val="left" w:pos="397"/>
          <w:tab w:val="clear" w:pos="420"/>
        </w:tabs>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t>商务评分：</w:t>
      </w:r>
      <w:bookmarkStart w:id="299" w:name="_Toc9774"/>
      <w:bookmarkStart w:id="300" w:name="_Toc31690"/>
      <w:bookmarkStart w:id="301" w:name="_Toc6596"/>
    </w:p>
    <w:p>
      <w:pPr>
        <w:tabs>
          <w:tab w:val="left" w:pos="397"/>
        </w:tabs>
        <w:spacing w:line="360" w:lineRule="auto"/>
        <w:ind w:left="397"/>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将各个评委的商务评分汇总，进行算术平均，得出该响应人的商务评分。</w:t>
      </w:r>
      <w:bookmarkEnd w:id="299"/>
      <w:bookmarkEnd w:id="300"/>
      <w:bookmarkEnd w:id="301"/>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价格评分：</w:t>
      </w:r>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评审价的确定，经响应文件初审进行必要的价格更正及按上述条款的原则校核修正后的价格为评审价；</w:t>
      </w:r>
    </w:p>
    <w:p>
      <w:pPr>
        <w:numPr>
          <w:ilvl w:val="4"/>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计算价格评分，各有效响应供应商的评审价中，取最低者作为基准价，各有效响应供应商的价格评分统一按照下列公式计算： 价格评分＝（基准价÷评审价）×35。</w:t>
      </w:r>
    </w:p>
    <w:p>
      <w:pPr>
        <w:adjustRightInd w:val="0"/>
        <w:snapToGrid w:val="0"/>
        <w:spacing w:beforeLines="50" w:afterLines="50"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w:t>
      </w:r>
      <w:bookmarkStart w:id="302" w:name="_Toc4051"/>
      <w:bookmarkStart w:id="303" w:name="_Toc14153"/>
      <w:bookmarkStart w:id="304" w:name="_Toc3046"/>
      <w:r>
        <w:rPr>
          <w:rFonts w:hint="eastAsia" w:asciiTheme="minorEastAsia" w:hAnsiTheme="minorEastAsia" w:eastAsiaTheme="minorEastAsia" w:cstheme="minorEastAsia"/>
          <w:szCs w:val="21"/>
        </w:rPr>
        <w:t>注：各项评分按四舍五入原则精确到小数点后2位。</w:t>
      </w:r>
      <w:bookmarkEnd w:id="302"/>
      <w:bookmarkEnd w:id="303"/>
      <w:bookmarkEnd w:id="304"/>
    </w:p>
    <w:p>
      <w:pPr>
        <w:numPr>
          <w:ilvl w:val="2"/>
          <w:numId w:val="12"/>
        </w:numPr>
        <w:spacing w:line="360" w:lineRule="auto"/>
        <w:outlineLvl w:val="2"/>
        <w:rPr>
          <w:rFonts w:asciiTheme="minorEastAsia" w:hAnsiTheme="minorEastAsia" w:eastAsiaTheme="minorEastAsia" w:cstheme="minorEastAsia"/>
          <w:b/>
          <w:szCs w:val="21"/>
        </w:rPr>
      </w:pPr>
      <w:bookmarkStart w:id="305" w:name="_Toc2341342"/>
      <w:bookmarkStart w:id="306" w:name="_Toc2341749"/>
      <w:bookmarkStart w:id="307" w:name="_Toc5028"/>
      <w:bookmarkStart w:id="308" w:name="_Toc875"/>
      <w:r>
        <w:rPr>
          <w:rFonts w:hint="eastAsia" w:asciiTheme="minorEastAsia" w:hAnsiTheme="minorEastAsia" w:eastAsiaTheme="minorEastAsia" w:cstheme="minorEastAsia"/>
          <w:b/>
          <w:szCs w:val="21"/>
        </w:rPr>
        <w:t>综合评分的计算</w:t>
      </w:r>
      <w:bookmarkEnd w:id="305"/>
      <w:bookmarkEnd w:id="306"/>
      <w:bookmarkEnd w:id="307"/>
      <w:bookmarkEnd w:id="308"/>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综合评分 = 技术评分 + 商务评分 + 价格评分。</w:t>
      </w:r>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各项评分按四舍五入原则精确到小数点后2位。出现供应商总分数相同的情况时，将综合评分由高到低顺序排列。综合评分相同的，按响应报价由低到高顺序排列；综合评分相同，且响应价格相同的，按技术评分由高到低顺序排列。综合评分相同，且响应报价和技术评分均相同的，按商务评分由高到低顺序排列。综合评分相同，且响应报价、技术和商务评分均相同的，名次由评审小组抽签决定。</w:t>
      </w:r>
    </w:p>
    <w:p>
      <w:pPr>
        <w:numPr>
          <w:ilvl w:val="2"/>
          <w:numId w:val="12"/>
        </w:numPr>
        <w:spacing w:line="360" w:lineRule="auto"/>
        <w:outlineLvl w:val="2"/>
        <w:rPr>
          <w:rFonts w:asciiTheme="minorEastAsia" w:hAnsiTheme="minorEastAsia" w:eastAsiaTheme="minorEastAsia" w:cstheme="minorEastAsia"/>
          <w:szCs w:val="21"/>
        </w:rPr>
      </w:pPr>
      <w:bookmarkStart w:id="309" w:name="_Toc2341343"/>
      <w:bookmarkStart w:id="310" w:name="_Toc2341750"/>
      <w:bookmarkStart w:id="311" w:name="_Toc22328"/>
      <w:bookmarkStart w:id="312" w:name="_Toc21468"/>
      <w:r>
        <w:rPr>
          <w:rFonts w:hint="eastAsia" w:asciiTheme="minorEastAsia" w:hAnsiTheme="minorEastAsia" w:eastAsiaTheme="minorEastAsia" w:cstheme="minorEastAsia"/>
          <w:b/>
          <w:szCs w:val="21"/>
        </w:rPr>
        <w:t>确定</w:t>
      </w:r>
      <w:bookmarkStart w:id="313" w:name="_Toc3601"/>
      <w:bookmarkStart w:id="314" w:name="_Toc23822"/>
      <w:bookmarkStart w:id="315" w:name="_Toc19636"/>
      <w:bookmarkEnd w:id="309"/>
      <w:bookmarkEnd w:id="310"/>
      <w:r>
        <w:rPr>
          <w:rFonts w:hint="eastAsia" w:asciiTheme="minorEastAsia" w:hAnsiTheme="minorEastAsia" w:eastAsiaTheme="minorEastAsia" w:cstheme="minorEastAsia"/>
          <w:b/>
          <w:szCs w:val="21"/>
        </w:rPr>
        <w:t>中选人</w:t>
      </w:r>
      <w:bookmarkEnd w:id="311"/>
      <w:bookmarkEnd w:id="312"/>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项目采购实施部门根据各响应供应商综合评分排名情况，编写评审报告，根据评审结果确定第一、第二成交候选人等名单，第一成交候选人即为中选人。</w:t>
      </w:r>
      <w:bookmarkEnd w:id="313"/>
      <w:bookmarkEnd w:id="314"/>
      <w:bookmarkEnd w:id="315"/>
    </w:p>
    <w:p>
      <w:pPr>
        <w:numPr>
          <w:ilvl w:val="3"/>
          <w:numId w:val="12"/>
        </w:numPr>
        <w:tabs>
          <w:tab w:val="left" w:pos="397"/>
          <w:tab w:val="clear" w:pos="420"/>
        </w:tabs>
        <w:spacing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中选人因自身原因被取消成交资格，采购人可重新启动采购或按竞价公告规定顺延推选第二候选人作为中选人。</w:t>
      </w:r>
    </w:p>
    <w:p>
      <w:pPr>
        <w:pStyle w:val="2"/>
        <w:rPr>
          <w:rFonts w:hint="eastAsia" w:asciiTheme="minorEastAsia" w:hAnsiTheme="minorEastAsia" w:eastAsiaTheme="minorEastAsia" w:cstheme="minorEastAsia"/>
          <w:bCs/>
          <w:szCs w:val="21"/>
        </w:rPr>
      </w:pPr>
    </w:p>
    <w:p>
      <w:pPr>
        <w:pStyle w:val="3"/>
        <w:rPr>
          <w:rFonts w:hint="eastAsia" w:asciiTheme="minorEastAsia" w:hAnsiTheme="minorEastAsia" w:eastAsiaTheme="minorEastAsia" w:cstheme="minorEastAsia"/>
          <w:bCs/>
          <w:szCs w:val="21"/>
        </w:rPr>
      </w:pPr>
    </w:p>
    <w:p>
      <w:pPr>
        <w:pStyle w:val="3"/>
        <w:rPr>
          <w:rFonts w:hint="eastAsia" w:asciiTheme="minorEastAsia" w:hAnsiTheme="minorEastAsia" w:eastAsiaTheme="minorEastAsia" w:cstheme="minorEastAsia"/>
          <w:bCs/>
          <w:szCs w:val="21"/>
        </w:rPr>
      </w:pPr>
    </w:p>
    <w:p>
      <w:pPr>
        <w:pStyle w:val="3"/>
        <w:rPr>
          <w:rFonts w:hint="eastAsia" w:asciiTheme="minorEastAsia" w:hAnsiTheme="minorEastAsia" w:eastAsiaTheme="minorEastAsia" w:cstheme="minorEastAsia"/>
          <w:bCs/>
          <w:szCs w:val="21"/>
        </w:rPr>
      </w:pPr>
    </w:p>
    <w:p>
      <w:pPr>
        <w:pStyle w:val="3"/>
        <w:rPr>
          <w:rFonts w:hint="eastAsia" w:asciiTheme="minorEastAsia" w:hAnsiTheme="minorEastAsia" w:eastAsiaTheme="minorEastAsia" w:cstheme="minorEastAsia"/>
          <w:bCs/>
          <w:szCs w:val="21"/>
        </w:rPr>
      </w:pPr>
    </w:p>
    <w:p>
      <w:pPr>
        <w:pStyle w:val="3"/>
        <w:rPr>
          <w:rFonts w:hint="eastAsia" w:asciiTheme="minorEastAsia" w:hAnsiTheme="minorEastAsia" w:eastAsiaTheme="minorEastAsia" w:cstheme="minorEastAsia"/>
          <w:bCs/>
          <w:szCs w:val="21"/>
        </w:rPr>
      </w:pPr>
    </w:p>
    <w:p>
      <w:pPr>
        <w:pStyle w:val="3"/>
        <w:rPr>
          <w:rFonts w:hint="eastAsia" w:asciiTheme="minorEastAsia" w:hAnsiTheme="minorEastAsia" w:eastAsiaTheme="minorEastAsia" w:cstheme="minorEastAsia"/>
          <w:bCs/>
          <w:szCs w:val="21"/>
        </w:rPr>
      </w:pPr>
    </w:p>
    <w:p>
      <w:pPr>
        <w:pStyle w:val="3"/>
        <w:rPr>
          <w:rFonts w:hint="eastAsia" w:asciiTheme="minorEastAsia" w:hAnsiTheme="minorEastAsia" w:eastAsiaTheme="minorEastAsia" w:cstheme="minorEastAsia"/>
          <w:bCs/>
          <w:szCs w:val="21"/>
        </w:rPr>
      </w:pPr>
    </w:p>
    <w:p>
      <w:pPr>
        <w:spacing w:beforeLines="50" w:afterLines="50" w:line="360" w:lineRule="auto"/>
        <w:jc w:val="left"/>
        <w:outlineLvl w:val="1"/>
        <w:rPr>
          <w:rFonts w:asciiTheme="minorEastAsia" w:hAnsiTheme="minorEastAsia" w:eastAsiaTheme="minorEastAsia" w:cstheme="minorEastAsia"/>
          <w:sz w:val="28"/>
          <w:szCs w:val="28"/>
        </w:rPr>
      </w:pPr>
      <w:bookmarkStart w:id="316" w:name="_Toc32002"/>
      <w:bookmarkStart w:id="317" w:name="_Toc2870"/>
      <w:bookmarkStart w:id="318" w:name="_Toc533236393"/>
      <w:r>
        <w:rPr>
          <w:rFonts w:hint="eastAsia" w:ascii="黑体" w:hAnsi="黑体" w:eastAsia="黑体" w:cs="黑体"/>
          <w:sz w:val="28"/>
          <w:szCs w:val="28"/>
        </w:rPr>
        <w:t>附表一</w:t>
      </w:r>
      <w:bookmarkEnd w:id="316"/>
      <w:bookmarkEnd w:id="317"/>
      <w:r>
        <w:rPr>
          <w:rFonts w:hint="eastAsia" w:ascii="黑体" w:hAnsi="黑体" w:eastAsia="黑体" w:cs="黑体"/>
          <w:sz w:val="28"/>
          <w:szCs w:val="28"/>
        </w:rPr>
        <w:t xml:space="preserve">   </w:t>
      </w:r>
      <w:r>
        <w:rPr>
          <w:rFonts w:hint="eastAsia" w:asciiTheme="minorEastAsia" w:hAnsiTheme="minorEastAsia" w:eastAsiaTheme="minorEastAsia" w:cstheme="minorEastAsia"/>
          <w:szCs w:val="21"/>
        </w:rPr>
        <w:t xml:space="preserve">            </w:t>
      </w:r>
    </w:p>
    <w:p>
      <w:pPr>
        <w:spacing w:after="240"/>
        <w:jc w:val="center"/>
        <w:outlineLvl w:val="1"/>
        <w:rPr>
          <w:rFonts w:ascii="黑体" w:hAnsi="黑体" w:eastAsia="黑体" w:cs="黑体"/>
          <w:sz w:val="28"/>
          <w:szCs w:val="28"/>
        </w:rPr>
      </w:pPr>
      <w:bookmarkStart w:id="319" w:name="_Toc31742"/>
      <w:bookmarkStart w:id="320" w:name="_Toc19667"/>
      <w:r>
        <w:rPr>
          <w:rFonts w:hint="eastAsia" w:ascii="黑体" w:hAnsi="黑体" w:eastAsia="黑体" w:cs="黑体"/>
          <w:sz w:val="28"/>
          <w:szCs w:val="28"/>
        </w:rPr>
        <w:t>资格性、符合性审查表</w:t>
      </w:r>
      <w:bookmarkEnd w:id="318"/>
      <w:bookmarkEnd w:id="319"/>
      <w:bookmarkEnd w:id="320"/>
    </w:p>
    <w:tbl>
      <w:tblPr>
        <w:tblStyle w:val="21"/>
        <w:tblW w:w="9214"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45"/>
        <w:gridCol w:w="1323"/>
        <w:gridCol w:w="1323"/>
        <w:gridCol w:w="13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5245" w:type="dxa"/>
            <w:vMerge w:val="restart"/>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评审内容</w:t>
            </w:r>
          </w:p>
        </w:tc>
        <w:tc>
          <w:tcPr>
            <w:tcW w:w="3969" w:type="dxa"/>
            <w:gridSpan w:val="3"/>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响应人名称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407" w:hRule="atLeast"/>
        </w:trPr>
        <w:tc>
          <w:tcPr>
            <w:tcW w:w="5245" w:type="dxa"/>
            <w:vMerge w:val="continue"/>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p>
        </w:tc>
        <w:tc>
          <w:tcPr>
            <w:tcW w:w="1323" w:type="dxa"/>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响应人A</w:t>
            </w:r>
          </w:p>
        </w:tc>
        <w:tc>
          <w:tcPr>
            <w:tcW w:w="1323" w:type="dxa"/>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响应人B</w:t>
            </w:r>
          </w:p>
        </w:tc>
        <w:tc>
          <w:tcPr>
            <w:tcW w:w="1323" w:type="dxa"/>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响应人C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524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具备采购文件中规定响应人资格要求</w:t>
            </w: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524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响应价格唯一，不高于采购人需求规定的最高限价或低于成本价，且能提供相关证明材料的</w:t>
            </w: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524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符合采购文件的签署、盖章要求</w:t>
            </w: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524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按采购文件要求提供法定代表人证明及授权书</w:t>
            </w: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524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符合采购文件响应有效期要求的</w:t>
            </w: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trPr>
        <w:tc>
          <w:tcPr>
            <w:tcW w:w="524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满足采购文件中对响应人的指定</w:t>
            </w:r>
            <w:r>
              <w:rPr>
                <w:rFonts w:hint="eastAsia" w:asciiTheme="minorEastAsia" w:hAnsiTheme="minorEastAsia" w:eastAsiaTheme="minorEastAsia" w:cstheme="minorEastAsia"/>
                <w:bCs/>
                <w:szCs w:val="21"/>
              </w:rPr>
              <w:t>带★号的条款</w:t>
            </w:r>
            <w:r>
              <w:rPr>
                <w:rFonts w:hint="eastAsia" w:asciiTheme="minorEastAsia" w:hAnsiTheme="minorEastAsia" w:eastAsiaTheme="minorEastAsia" w:cstheme="minorEastAsia"/>
                <w:szCs w:val="21"/>
              </w:rPr>
              <w:t>要求，其他要求没有重大偏离的</w:t>
            </w: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trPr>
        <w:tc>
          <w:tcPr>
            <w:tcW w:w="5245" w:type="dxa"/>
            <w:vAlign w:val="center"/>
          </w:tcPr>
          <w:p>
            <w:pPr>
              <w:spacing w:after="240"/>
              <w:rPr>
                <w:rFonts w:asciiTheme="minorEastAsia" w:hAnsiTheme="minorEastAsia" w:eastAsiaTheme="minorEastAsia" w:cstheme="minorEastAsia"/>
                <w:color w:val="FF0000"/>
                <w:szCs w:val="21"/>
              </w:rPr>
            </w:pPr>
            <w:r>
              <w:rPr>
                <w:rFonts w:hint="eastAsia" w:asciiTheme="minorEastAsia" w:hAnsiTheme="minorEastAsia" w:eastAsiaTheme="minorEastAsia" w:cstheme="minorEastAsia"/>
                <w:color w:val="auto"/>
                <w:szCs w:val="21"/>
              </w:rPr>
              <w:t>响应资料齐全（包括：响应函、 法定代表人证明及授权书、</w:t>
            </w:r>
            <w:r>
              <w:rPr>
                <w:rFonts w:hint="eastAsia" w:asciiTheme="minorEastAsia" w:hAnsiTheme="minorEastAsia" w:eastAsiaTheme="minorEastAsia" w:cstheme="minorEastAsia"/>
                <w:color w:val="auto"/>
                <w:szCs w:val="21"/>
                <w:lang w:val="en-US" w:eastAsia="zh-CN"/>
              </w:rPr>
              <w:t>竞选货物的详细情况</w:t>
            </w:r>
            <w:r>
              <w:rPr>
                <w:rFonts w:hint="eastAsia" w:asciiTheme="minorEastAsia" w:hAnsiTheme="minorEastAsia" w:eastAsiaTheme="minorEastAsia" w:cstheme="minorEastAsia"/>
                <w:color w:val="auto"/>
                <w:szCs w:val="21"/>
              </w:rPr>
              <w:t>、实质性条款响应一览表、货物技术参数响应一览表、货物技术服务方案</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2017年至今实验室仪器设备类项目业绩一览表、拟派本项目负责人及主要人员情况表</w:t>
            </w:r>
            <w:r>
              <w:rPr>
                <w:rFonts w:hint="eastAsia" w:asciiTheme="minorEastAsia" w:hAnsiTheme="minorEastAsia" w:eastAsiaTheme="minorEastAsia" w:cstheme="minorEastAsia"/>
                <w:color w:val="auto"/>
                <w:szCs w:val="21"/>
              </w:rPr>
              <w:t>等</w:t>
            </w:r>
            <w:r>
              <w:rPr>
                <w:rFonts w:hint="eastAsia"/>
                <w:color w:val="auto"/>
              </w:rPr>
              <w:t>）</w:t>
            </w: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5245"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未发现无效响应的其他情形的（见注1）</w:t>
            </w: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c>
          <w:tcPr>
            <w:tcW w:w="1323" w:type="dxa"/>
            <w:vAlign w:val="center"/>
          </w:tcPr>
          <w:p>
            <w:pPr>
              <w:rPr>
                <w:rFonts w:asciiTheme="minorEastAsia" w:hAnsiTheme="minorEastAsia" w:eastAsiaTheme="minorEastAsia" w:cs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5245" w:type="dxa"/>
            <w:vAlign w:val="center"/>
          </w:tcPr>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结论（是否通过）</w:t>
            </w:r>
          </w:p>
        </w:tc>
        <w:tc>
          <w:tcPr>
            <w:tcW w:w="1323" w:type="dxa"/>
            <w:vAlign w:val="center"/>
          </w:tcPr>
          <w:p>
            <w:pPr>
              <w:rPr>
                <w:rFonts w:asciiTheme="minorEastAsia" w:hAnsiTheme="minorEastAsia" w:eastAsiaTheme="minorEastAsia" w:cstheme="minorEastAsia"/>
                <w:b/>
                <w:szCs w:val="21"/>
              </w:rPr>
            </w:pPr>
          </w:p>
        </w:tc>
        <w:tc>
          <w:tcPr>
            <w:tcW w:w="1323" w:type="dxa"/>
            <w:vAlign w:val="center"/>
          </w:tcPr>
          <w:p>
            <w:pPr>
              <w:rPr>
                <w:rFonts w:asciiTheme="minorEastAsia" w:hAnsiTheme="minorEastAsia" w:eastAsiaTheme="minorEastAsia" w:cstheme="minorEastAsia"/>
                <w:b/>
                <w:szCs w:val="21"/>
              </w:rPr>
            </w:pPr>
          </w:p>
        </w:tc>
        <w:tc>
          <w:tcPr>
            <w:tcW w:w="1323" w:type="dxa"/>
            <w:vAlign w:val="center"/>
          </w:tcPr>
          <w:p>
            <w:pPr>
              <w:rPr>
                <w:rFonts w:asciiTheme="minorEastAsia" w:hAnsiTheme="minorEastAsia" w:eastAsiaTheme="minorEastAsia" w:cstheme="minorEastAsia"/>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5245" w:type="dxa"/>
            <w:vAlign w:val="center"/>
          </w:tcPr>
          <w:p>
            <w:pPr>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评审人签名：</w:t>
            </w:r>
          </w:p>
          <w:p>
            <w:pPr>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日期：</w:t>
            </w:r>
          </w:p>
        </w:tc>
        <w:tc>
          <w:tcPr>
            <w:tcW w:w="3969" w:type="dxa"/>
            <w:gridSpan w:val="3"/>
            <w:vAlign w:val="center"/>
          </w:tcPr>
          <w:p>
            <w:p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不通过原因：</w:t>
            </w:r>
          </w:p>
        </w:tc>
      </w:tr>
    </w:tbl>
    <w:p>
      <w:pPr>
        <w:spacing w:line="360" w:lineRule="auto"/>
        <w:rPr>
          <w:rFonts w:asciiTheme="minorEastAsia" w:hAnsiTheme="minorEastAsia" w:eastAsiaTheme="minorEastAsia" w:cstheme="minorEastAsia"/>
          <w:bCs/>
          <w:szCs w:val="21"/>
        </w:rPr>
      </w:pP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注1：无效响应的其他情形</w:t>
      </w:r>
    </w:p>
    <w:p>
      <w:pPr>
        <w:spacing w:line="360" w:lineRule="auto"/>
        <w:ind w:left="525" w:hanging="525" w:hangingChars="2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（1）评审期间，响应人没有按评审小组的要求提交经授权代表签字的澄清、说明、补正或改变了响应文件的实质性内容的；</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（2）经评审小组认定响应文件提供虚假材料的；</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（3）响应人以他人的名义响应、串通、以行贿手段谋取成交或者以其他弄虚作假方式的；</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（4）响应人对采购人、评审小组及其工作人员施加影响，有碍评审公平、公正的；</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（5）响应文件附有采购人不能接受的条件；</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（6）出现不符合相关法律、法规要求的情况的。</w:t>
      </w:r>
    </w:p>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注2：每位评审人单独填写一张本表。通过请写√，不通过请写×，并附原因。</w:t>
      </w:r>
    </w:p>
    <w:p>
      <w:pPr>
        <w:pStyle w:val="2"/>
      </w:pPr>
    </w:p>
    <w:p>
      <w:pPr>
        <w:widowControl/>
        <w:tabs>
          <w:tab w:val="left" w:pos="720"/>
          <w:tab w:val="left" w:pos="1080"/>
        </w:tabs>
        <w:spacing w:line="360" w:lineRule="auto"/>
        <w:rPr>
          <w:rFonts w:ascii="仿宋_GB2312" w:hAnsi="宋体" w:eastAsia="仿宋_GB2312"/>
          <w:sz w:val="28"/>
          <w:szCs w:val="28"/>
        </w:rPr>
      </w:pPr>
    </w:p>
    <w:p>
      <w:pPr>
        <w:spacing w:beforeLines="50" w:afterLines="50" w:line="360" w:lineRule="auto"/>
        <w:jc w:val="left"/>
        <w:outlineLvl w:val="1"/>
        <w:rPr>
          <w:rFonts w:hint="eastAsia" w:asciiTheme="minorEastAsia" w:hAnsiTheme="minorEastAsia" w:eastAsiaTheme="minorEastAsia" w:cstheme="minorEastAsia"/>
          <w:szCs w:val="21"/>
        </w:rPr>
      </w:pPr>
      <w:bookmarkStart w:id="321" w:name="_Toc27629"/>
      <w:bookmarkStart w:id="322" w:name="_Toc10289"/>
      <w:bookmarkStart w:id="323" w:name="_Toc435514846"/>
      <w:bookmarkStart w:id="324" w:name="_Toc463018933"/>
      <w:r>
        <w:rPr>
          <w:rFonts w:hint="eastAsia" w:ascii="黑体" w:hAnsi="黑体" w:eastAsia="黑体" w:cs="黑体"/>
          <w:sz w:val="28"/>
          <w:szCs w:val="28"/>
        </w:rPr>
        <w:t>附表二</w:t>
      </w:r>
      <w:bookmarkEnd w:id="321"/>
      <w:bookmarkEnd w:id="322"/>
      <w:r>
        <w:rPr>
          <w:rFonts w:hint="eastAsia" w:ascii="黑体" w:hAnsi="黑体" w:eastAsia="黑体" w:cs="黑体"/>
          <w:b/>
          <w:bCs/>
          <w:sz w:val="28"/>
          <w:szCs w:val="28"/>
        </w:rPr>
        <w:t xml:space="preserve"> </w:t>
      </w:r>
      <w:r>
        <w:rPr>
          <w:rFonts w:hint="eastAsia"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szCs w:val="21"/>
        </w:rPr>
        <w:t xml:space="preserve">         </w:t>
      </w:r>
    </w:p>
    <w:p>
      <w:pPr>
        <w:spacing w:beforeLines="50" w:afterLines="50" w:line="360" w:lineRule="auto"/>
        <w:jc w:val="left"/>
        <w:outlineLvl w:val="1"/>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bookmarkEnd w:id="323"/>
    <w:bookmarkEnd w:id="324"/>
    <w:p>
      <w:pPr>
        <w:spacing w:after="240"/>
        <w:jc w:val="center"/>
        <w:outlineLvl w:val="1"/>
        <w:rPr>
          <w:rFonts w:ascii="黑体" w:hAnsi="黑体" w:eastAsia="黑体" w:cs="黑体"/>
          <w:sz w:val="28"/>
          <w:szCs w:val="28"/>
        </w:rPr>
      </w:pPr>
      <w:bookmarkStart w:id="325" w:name="_Toc20985"/>
      <w:bookmarkStart w:id="326" w:name="_Toc31126"/>
      <w:r>
        <w:rPr>
          <w:rFonts w:hint="eastAsia" w:ascii="黑体" w:hAnsi="黑体" w:eastAsia="黑体" w:cs="黑体"/>
          <w:sz w:val="28"/>
          <w:szCs w:val="28"/>
        </w:rPr>
        <w:t>技术商务部分评分表（65分）</w:t>
      </w:r>
      <w:bookmarkEnd w:id="325"/>
      <w:bookmarkEnd w:id="326"/>
    </w:p>
    <w:tbl>
      <w:tblPr>
        <w:tblStyle w:val="21"/>
        <w:tblW w:w="945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17"/>
        <w:gridCol w:w="1243"/>
        <w:gridCol w:w="6579"/>
        <w:gridCol w:w="9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shd w:val="clear" w:color="auto" w:fill="BEBEBE" w:themeFill="background1" w:themeFillShade="BF"/>
            <w:vAlign w:val="center"/>
          </w:tcPr>
          <w:p>
            <w:pPr>
              <w:ind w:left="-78" w:leftChars="-37" w:right="-73" w:rightChars="-35"/>
              <w:jc w:val="center"/>
              <w:rPr>
                <w:rFonts w:ascii="宋体" w:hAnsi="宋体" w:cs="宋体"/>
                <w:b/>
                <w:szCs w:val="21"/>
              </w:rPr>
            </w:pPr>
            <w:bookmarkStart w:id="327" w:name="_Toc130180925"/>
            <w:bookmarkStart w:id="328" w:name="_Toc533236394"/>
            <w:bookmarkStart w:id="329" w:name="_Toc130180844"/>
            <w:bookmarkStart w:id="330" w:name="_Toc238282340"/>
            <w:bookmarkStart w:id="331" w:name="_Toc130180739"/>
            <w:r>
              <w:rPr>
                <w:rFonts w:hint="eastAsia" w:ascii="宋体" w:hAnsi="宋体" w:cs="宋体"/>
                <w:b/>
                <w:szCs w:val="21"/>
              </w:rPr>
              <w:t>序号</w:t>
            </w:r>
          </w:p>
        </w:tc>
        <w:tc>
          <w:tcPr>
            <w:tcW w:w="1243" w:type="dxa"/>
            <w:shd w:val="clear" w:color="auto" w:fill="BEBEBE" w:themeFill="background1" w:themeFillShade="BF"/>
            <w:vAlign w:val="center"/>
          </w:tcPr>
          <w:p>
            <w:pPr>
              <w:ind w:left="-78" w:leftChars="-37" w:right="-73" w:rightChars="-35"/>
              <w:jc w:val="center"/>
              <w:rPr>
                <w:rFonts w:ascii="宋体" w:hAnsi="宋体" w:cs="宋体"/>
                <w:b/>
                <w:szCs w:val="21"/>
              </w:rPr>
            </w:pPr>
            <w:r>
              <w:rPr>
                <w:rFonts w:hint="eastAsia" w:ascii="宋体" w:hAnsi="宋体" w:cs="宋体"/>
                <w:b/>
                <w:szCs w:val="21"/>
              </w:rPr>
              <w:t>评审因素</w:t>
            </w:r>
          </w:p>
        </w:tc>
        <w:tc>
          <w:tcPr>
            <w:tcW w:w="6579" w:type="dxa"/>
            <w:shd w:val="clear" w:color="auto" w:fill="BEBEBE" w:themeFill="background1" w:themeFillShade="BF"/>
            <w:vAlign w:val="center"/>
          </w:tcPr>
          <w:p>
            <w:pPr>
              <w:ind w:left="-78" w:leftChars="-37" w:right="-73" w:rightChars="-35"/>
              <w:jc w:val="center"/>
              <w:rPr>
                <w:rFonts w:ascii="宋体" w:hAnsi="宋体" w:cs="宋体"/>
                <w:b/>
                <w:szCs w:val="21"/>
              </w:rPr>
            </w:pPr>
            <w:r>
              <w:rPr>
                <w:rFonts w:hint="eastAsia" w:ascii="宋体" w:hAnsi="宋体" w:cs="宋体"/>
                <w:b/>
                <w:szCs w:val="21"/>
              </w:rPr>
              <w:t>评分细则</w:t>
            </w:r>
          </w:p>
        </w:tc>
        <w:tc>
          <w:tcPr>
            <w:tcW w:w="919" w:type="dxa"/>
            <w:tcBorders>
              <w:left w:val="single" w:color="auto" w:sz="4" w:space="0"/>
            </w:tcBorders>
            <w:shd w:val="clear" w:color="auto" w:fill="BEBEBE" w:themeFill="background1" w:themeFillShade="BF"/>
            <w:vAlign w:val="center"/>
          </w:tcPr>
          <w:p>
            <w:pPr>
              <w:ind w:left="-78" w:leftChars="-37" w:right="-73" w:rightChars="-35"/>
              <w:jc w:val="center"/>
              <w:rPr>
                <w:rFonts w:ascii="宋体" w:hAnsi="宋体" w:cs="宋体"/>
                <w:b/>
                <w:szCs w:val="21"/>
              </w:rPr>
            </w:pPr>
            <w:r>
              <w:rPr>
                <w:rFonts w:hint="eastAsia" w:ascii="宋体" w:hAnsi="宋体" w:cs="宋体"/>
                <w:b/>
                <w:szCs w:val="21"/>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52" w:hRule="atLeast"/>
        </w:trPr>
        <w:tc>
          <w:tcPr>
            <w:tcW w:w="717" w:type="dxa"/>
            <w:vAlign w:val="center"/>
          </w:tcPr>
          <w:p>
            <w:pPr>
              <w:ind w:left="-78" w:leftChars="-37" w:right="-73" w:rightChars="-35"/>
              <w:jc w:val="center"/>
              <w:rPr>
                <w:rFonts w:ascii="宋体" w:hAnsi="宋体" w:cs="宋体"/>
                <w:b/>
                <w:szCs w:val="21"/>
              </w:rPr>
            </w:pPr>
            <w:r>
              <w:rPr>
                <w:rFonts w:hint="eastAsia" w:ascii="宋体" w:hAnsi="宋体" w:cs="宋体"/>
                <w:szCs w:val="21"/>
              </w:rPr>
              <w:t>一</w:t>
            </w:r>
          </w:p>
        </w:tc>
        <w:tc>
          <w:tcPr>
            <w:tcW w:w="8741" w:type="dxa"/>
            <w:gridSpan w:val="3"/>
            <w:vAlign w:val="center"/>
          </w:tcPr>
          <w:p>
            <w:pPr>
              <w:ind w:left="-78" w:leftChars="-37" w:right="-73" w:rightChars="-35"/>
              <w:jc w:val="center"/>
              <w:rPr>
                <w:rFonts w:ascii="宋体" w:hAnsi="宋体" w:cs="宋体"/>
                <w:b/>
                <w:szCs w:val="21"/>
              </w:rPr>
            </w:pPr>
            <w:r>
              <w:rPr>
                <w:rFonts w:hint="eastAsia" w:ascii="宋体" w:hAnsi="宋体"/>
                <w:b/>
                <w:szCs w:val="21"/>
              </w:rPr>
              <w:t>技术部分 (合计45分)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vAlign w:val="center"/>
          </w:tcPr>
          <w:p>
            <w:pPr>
              <w:pStyle w:val="24"/>
              <w:numPr>
                <w:ilvl w:val="0"/>
                <w:numId w:val="19"/>
              </w:numPr>
              <w:ind w:firstLineChars="0"/>
              <w:jc w:val="center"/>
              <w:rPr>
                <w:rFonts w:ascii="宋体" w:hAnsi="宋体"/>
                <w:szCs w:val="21"/>
              </w:rPr>
            </w:pPr>
          </w:p>
        </w:tc>
        <w:tc>
          <w:tcPr>
            <w:tcW w:w="1243" w:type="dxa"/>
            <w:vAlign w:val="center"/>
          </w:tcPr>
          <w:p>
            <w:pPr>
              <w:snapToGrid w:val="0"/>
              <w:ind w:left="-63" w:leftChars="-30" w:right="-88" w:rightChars="-42"/>
              <w:jc w:val="center"/>
              <w:rPr>
                <w:rFonts w:ascii="宋体" w:hAnsi="宋体" w:cs="宋体"/>
                <w:szCs w:val="21"/>
              </w:rPr>
            </w:pPr>
            <w:r>
              <w:rPr>
                <w:rFonts w:hint="eastAsia" w:asciiTheme="minorEastAsia" w:hAnsiTheme="minorEastAsia" w:eastAsiaTheme="minorEastAsia" w:cstheme="minorEastAsia"/>
                <w:szCs w:val="21"/>
              </w:rPr>
              <w:t>技术参数响应</w:t>
            </w:r>
          </w:p>
        </w:tc>
        <w:tc>
          <w:tcPr>
            <w:tcW w:w="6579"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考查各竞选人竞标产品的技术参数响应程度（要求提供证明材料的投标时必须提供，不提供或提供不全的作负偏离处理）。</w:t>
            </w:r>
          </w:p>
          <w:p>
            <w:pPr>
              <w:widowControl/>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完全满足要求得35分；</w:t>
            </w:r>
          </w:p>
          <w:p>
            <w:pPr>
              <w:widowControl/>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▲类别项目每有1项不满足扣1.5分，其他项类目每有1项不满足扣1分，扣完为止。</w:t>
            </w:r>
          </w:p>
          <w:p>
            <w:pPr>
              <w:snapToGrid w:val="0"/>
              <w:spacing w:line="360" w:lineRule="auto"/>
              <w:ind w:right="-88" w:rightChars="-42"/>
              <w:rPr>
                <w:rFonts w:ascii="宋体" w:hAnsi="宋体"/>
                <w:szCs w:val="21"/>
              </w:rPr>
            </w:pPr>
            <w:r>
              <w:rPr>
                <w:rFonts w:hint="eastAsia" w:asciiTheme="minorEastAsia" w:hAnsiTheme="minorEastAsia" w:eastAsiaTheme="minorEastAsia" w:cstheme="minorEastAsia"/>
                <w:szCs w:val="21"/>
              </w:rPr>
              <w:t>需提供产品彩页或官方网站截图或厂家技术参数确认函或厂家技术白皮书等证明材料。</w:t>
            </w:r>
          </w:p>
        </w:tc>
        <w:tc>
          <w:tcPr>
            <w:tcW w:w="919" w:type="dxa"/>
            <w:tcBorders>
              <w:left w:val="single" w:color="auto" w:sz="4" w:space="0"/>
            </w:tcBorders>
            <w:vAlign w:val="center"/>
          </w:tcPr>
          <w:p>
            <w:pPr>
              <w:jc w:val="center"/>
              <w:rPr>
                <w:rFonts w:ascii="宋体" w:hAnsi="宋体"/>
                <w:szCs w:val="21"/>
              </w:rPr>
            </w:pPr>
            <w:r>
              <w:rPr>
                <w:rFonts w:hint="eastAsia" w:ascii="宋体" w:hAnsi="宋体"/>
                <w:szCs w:val="21"/>
              </w:rPr>
              <w:t>35分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vAlign w:val="center"/>
          </w:tcPr>
          <w:p>
            <w:pPr>
              <w:pStyle w:val="24"/>
              <w:numPr>
                <w:ilvl w:val="0"/>
                <w:numId w:val="19"/>
              </w:numPr>
              <w:ind w:firstLineChars="0"/>
              <w:jc w:val="center"/>
              <w:rPr>
                <w:rFonts w:ascii="宋体" w:hAnsi="宋体"/>
                <w:szCs w:val="21"/>
              </w:rPr>
            </w:pPr>
          </w:p>
        </w:tc>
        <w:tc>
          <w:tcPr>
            <w:tcW w:w="1243" w:type="dxa"/>
            <w:vAlign w:val="center"/>
          </w:tcPr>
          <w:p>
            <w:pPr>
              <w:spacing w:line="360" w:lineRule="auto"/>
              <w:jc w:val="center"/>
              <w:rPr>
                <w:rFonts w:ascii="宋体" w:hAnsi="宋体"/>
                <w:bCs/>
                <w:szCs w:val="21"/>
              </w:rPr>
            </w:pPr>
            <w:r>
              <w:rPr>
                <w:rFonts w:hint="eastAsia" w:asciiTheme="minorEastAsia" w:hAnsiTheme="minorEastAsia" w:eastAsiaTheme="minorEastAsia" w:cstheme="minorEastAsia"/>
                <w:szCs w:val="21"/>
              </w:rPr>
              <w:t>实施方案</w:t>
            </w:r>
          </w:p>
        </w:tc>
        <w:tc>
          <w:tcPr>
            <w:tcW w:w="6579" w:type="dxa"/>
            <w:vAlign w:val="center"/>
          </w:tcPr>
          <w:p>
            <w:pPr>
              <w:pStyle w:val="25"/>
              <w:adjustRightInd/>
              <w:spacing w:line="360" w:lineRule="auto"/>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综合考查竞选人项目实施方案（设备的安装调试、测试检验、工期精度计划、培训方案及验收方案等）：</w:t>
            </w:r>
          </w:p>
          <w:p>
            <w:pPr>
              <w:pStyle w:val="25"/>
              <w:adjustRightInd/>
              <w:spacing w:line="360" w:lineRule="auto"/>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优：项目实施方案全面细致，设备安装及设备调试可行，描述完善，完全满足且优于用户需求，且在广州市内有经营地点的，得 5 分；</w:t>
            </w:r>
          </w:p>
          <w:p>
            <w:pPr>
              <w:pStyle w:val="25"/>
              <w:adjustRightInd/>
              <w:spacing w:line="360" w:lineRule="auto"/>
              <w:rPr>
                <w:rFonts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良：项目实施方案完整，设备安装及设备调试可行，基本满足用户各业务系统上线需求，得 3 分；</w:t>
            </w:r>
          </w:p>
          <w:p>
            <w:pPr>
              <w:widowControl/>
              <w:spacing w:line="360" w:lineRule="auto"/>
              <w:jc w:val="left"/>
              <w:rPr>
                <w:rFonts w:ascii="宋体" w:hAnsi="宋体"/>
                <w:szCs w:val="21"/>
              </w:rPr>
            </w:pPr>
            <w:r>
              <w:rPr>
                <w:rFonts w:hint="eastAsia" w:asciiTheme="minorEastAsia" w:hAnsiTheme="minorEastAsia" w:eastAsiaTheme="minorEastAsia" w:cstheme="minorEastAsia"/>
                <w:szCs w:val="21"/>
              </w:rPr>
              <w:t>一般：项目实施方案基本完整，设备安装及设备升级调试不能完全满足用户各业务系统上线需求，得 1 分。</w:t>
            </w:r>
          </w:p>
        </w:tc>
        <w:tc>
          <w:tcPr>
            <w:tcW w:w="919" w:type="dxa"/>
            <w:tcBorders>
              <w:left w:val="single" w:color="auto" w:sz="4" w:space="0"/>
            </w:tcBorders>
            <w:vAlign w:val="center"/>
          </w:tcPr>
          <w:p>
            <w:pPr>
              <w:spacing w:line="360" w:lineRule="auto"/>
              <w:jc w:val="center"/>
              <w:rPr>
                <w:rFonts w:ascii="宋体" w:hAnsi="宋体"/>
                <w:szCs w:val="21"/>
              </w:rPr>
            </w:pPr>
            <w:r>
              <w:rPr>
                <w:rFonts w:hint="eastAsia" w:asciiTheme="minorEastAsia" w:hAnsiTheme="minorEastAsia" w:eastAsiaTheme="minorEastAsia" w:cstheme="minorEastAsia"/>
                <w:szCs w:val="21"/>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vAlign w:val="center"/>
          </w:tcPr>
          <w:p>
            <w:pPr>
              <w:pStyle w:val="24"/>
              <w:numPr>
                <w:ilvl w:val="0"/>
                <w:numId w:val="19"/>
              </w:numPr>
              <w:ind w:firstLineChars="0"/>
              <w:rPr>
                <w:rFonts w:ascii="宋体" w:hAnsi="宋体"/>
                <w:szCs w:val="21"/>
              </w:rPr>
            </w:pPr>
          </w:p>
        </w:tc>
        <w:tc>
          <w:tcPr>
            <w:tcW w:w="1243"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售后服务</w:t>
            </w:r>
          </w:p>
        </w:tc>
        <w:tc>
          <w:tcPr>
            <w:tcW w:w="6579" w:type="dxa"/>
            <w:vAlign w:val="center"/>
          </w:tcPr>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根据竞选人所提供的售后服务包括但不仅限于以下内容：</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①应急维修时间安排；</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②质保期满后的承诺；</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③培训计划及人员安排；</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④其它服务承诺。</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售后服务方案详细完善，得</w:t>
            </w:r>
            <w:r>
              <w:rPr>
                <w:rFonts w:hint="eastAsia" w:asciiTheme="minorEastAsia" w:hAnsiTheme="minorEastAsia" w:eastAsiaTheme="minorEastAsia" w:cstheme="minorEastAsia"/>
                <w:color w:val="auto"/>
                <w:kern w:val="2"/>
                <w:sz w:val="21"/>
                <w:szCs w:val="21"/>
              </w:rPr>
              <w:t>5</w:t>
            </w:r>
            <w:r>
              <w:rPr>
                <w:rFonts w:hint="eastAsia" w:asciiTheme="minorEastAsia" w:hAnsiTheme="minorEastAsia" w:eastAsiaTheme="minorEastAsia" w:cstheme="minorEastAsia"/>
                <w:color w:val="auto"/>
                <w:kern w:val="2"/>
                <w:sz w:val="21"/>
                <w:szCs w:val="21"/>
                <w:lang w:val="zh-CN"/>
              </w:rPr>
              <w:t>分；</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售后服务方案描述清晰、完整、但不够详尽，得</w:t>
            </w:r>
            <w:r>
              <w:rPr>
                <w:rFonts w:hint="eastAsia" w:asciiTheme="minorEastAsia" w:hAnsiTheme="minorEastAsia" w:eastAsiaTheme="minorEastAsia" w:cstheme="minorEastAsia"/>
                <w:color w:val="auto"/>
                <w:kern w:val="2"/>
                <w:sz w:val="21"/>
                <w:szCs w:val="21"/>
              </w:rPr>
              <w:t>3</w:t>
            </w:r>
            <w:r>
              <w:rPr>
                <w:rFonts w:hint="eastAsia" w:asciiTheme="minorEastAsia" w:hAnsiTheme="minorEastAsia" w:eastAsiaTheme="minorEastAsia" w:cstheme="minorEastAsia"/>
                <w:color w:val="auto"/>
                <w:kern w:val="2"/>
                <w:sz w:val="21"/>
                <w:szCs w:val="21"/>
                <w:lang w:val="zh-CN"/>
              </w:rPr>
              <w:t>分；</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售后服务方案较差，得1分；</w:t>
            </w:r>
          </w:p>
          <w:p>
            <w:pPr>
              <w:pStyle w:val="25"/>
              <w:adjustRightInd/>
              <w:spacing w:line="360" w:lineRule="auto"/>
              <w:rPr>
                <w:rFonts w:ascii="宋体" w:eastAsia="宋体" w:cs="宋体"/>
                <w:sz w:val="21"/>
                <w:szCs w:val="21"/>
              </w:rPr>
            </w:pPr>
            <w:r>
              <w:rPr>
                <w:rFonts w:hint="eastAsia" w:asciiTheme="minorEastAsia" w:hAnsiTheme="minorEastAsia" w:eastAsiaTheme="minorEastAsia" w:cstheme="minorEastAsia"/>
                <w:color w:val="auto"/>
                <w:kern w:val="2"/>
                <w:sz w:val="21"/>
                <w:szCs w:val="21"/>
                <w:lang w:val="zh-CN"/>
              </w:rPr>
              <w:t>无则不得分</w:t>
            </w:r>
            <w:r>
              <w:rPr>
                <w:rFonts w:hint="eastAsia" w:asciiTheme="minorEastAsia" w:hAnsiTheme="minorEastAsia" w:eastAsiaTheme="minorEastAsia" w:cstheme="minorEastAsia"/>
                <w:color w:val="auto"/>
                <w:kern w:val="2"/>
                <w:sz w:val="21"/>
                <w:szCs w:val="21"/>
              </w:rPr>
              <w:t>。</w:t>
            </w:r>
          </w:p>
        </w:tc>
        <w:tc>
          <w:tcPr>
            <w:tcW w:w="919" w:type="dxa"/>
            <w:tcBorders>
              <w:left w:val="single" w:color="auto" w:sz="4" w:space="0"/>
            </w:tcBorders>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8" w:hRule="atLeast"/>
        </w:trPr>
        <w:tc>
          <w:tcPr>
            <w:tcW w:w="717" w:type="dxa"/>
            <w:vAlign w:val="center"/>
          </w:tcPr>
          <w:p>
            <w:pPr>
              <w:pStyle w:val="24"/>
              <w:ind w:firstLine="0" w:firstLineChars="0"/>
              <w:rPr>
                <w:rFonts w:ascii="宋体" w:hAnsi="宋体"/>
                <w:szCs w:val="21"/>
              </w:rPr>
            </w:pPr>
            <w:r>
              <w:rPr>
                <w:rFonts w:hint="eastAsia" w:ascii="宋体" w:hAnsi="宋体" w:eastAsia="宋体" w:cs="宋体"/>
                <w:kern w:val="2"/>
                <w:sz w:val="21"/>
                <w:szCs w:val="21"/>
                <w:lang w:val="en-US" w:eastAsia="zh-CN" w:bidi="ar-SA"/>
              </w:rPr>
              <w:t>二</w:t>
            </w:r>
          </w:p>
        </w:tc>
        <w:tc>
          <w:tcPr>
            <w:tcW w:w="8741" w:type="dxa"/>
            <w:gridSpan w:val="3"/>
            <w:vAlign w:val="center"/>
          </w:tcPr>
          <w:p>
            <w:pPr>
              <w:jc w:val="center"/>
              <w:rPr>
                <w:rFonts w:ascii="宋体" w:hAnsi="宋体"/>
                <w:szCs w:val="21"/>
              </w:rPr>
            </w:pPr>
            <w:r>
              <w:rPr>
                <w:rFonts w:hint="eastAsia" w:ascii="宋体" w:hAnsi="宋体"/>
                <w:b/>
                <w:szCs w:val="21"/>
              </w:rPr>
              <w:t xml:space="preserve">商务部分 </w:t>
            </w:r>
            <w:r>
              <w:rPr>
                <w:rFonts w:hint="eastAsia" w:ascii="宋体" w:hAnsi="宋体"/>
                <w:b/>
                <w:bCs/>
                <w:szCs w:val="21"/>
              </w:rPr>
              <w:t>(合计20分)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2" w:hRule="atLeast"/>
        </w:trPr>
        <w:tc>
          <w:tcPr>
            <w:tcW w:w="717" w:type="dxa"/>
            <w:tcBorders>
              <w:bottom w:val="single" w:color="auto" w:sz="4" w:space="0"/>
            </w:tcBorders>
            <w:vAlign w:val="center"/>
          </w:tcPr>
          <w:p>
            <w:pPr>
              <w:pStyle w:val="24"/>
              <w:numPr>
                <w:ilvl w:val="0"/>
                <w:numId w:val="20"/>
              </w:numPr>
              <w:ind w:firstLineChars="0"/>
              <w:jc w:val="center"/>
              <w:rPr>
                <w:rFonts w:ascii="宋体" w:hAnsi="宋体"/>
                <w:szCs w:val="21"/>
              </w:rPr>
            </w:pPr>
          </w:p>
        </w:tc>
        <w:tc>
          <w:tcPr>
            <w:tcW w:w="1243" w:type="dxa"/>
            <w:vAlign w:val="center"/>
          </w:tcPr>
          <w:p>
            <w:pPr>
              <w:spacing w:line="360" w:lineRule="auto"/>
              <w:jc w:val="center"/>
              <w:rPr>
                <w:rFonts w:ascii="宋体" w:hAnsi="宋体" w:cs="宋体"/>
                <w:szCs w:val="21"/>
              </w:rPr>
            </w:pPr>
            <w:r>
              <w:rPr>
                <w:rFonts w:hint="eastAsia" w:asciiTheme="minorEastAsia" w:hAnsiTheme="minorEastAsia" w:eastAsiaTheme="minorEastAsia" w:cstheme="minorEastAsia"/>
                <w:szCs w:val="21"/>
              </w:rPr>
              <w:t>投标人资质情况</w:t>
            </w:r>
          </w:p>
        </w:tc>
        <w:tc>
          <w:tcPr>
            <w:tcW w:w="6579" w:type="dxa"/>
            <w:vAlign w:val="center"/>
          </w:tcPr>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 xml:space="preserve">竞选人具有由国家认证认可监督管理部门批准设立的认证机构颁发的证书的情况： </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①ISO9001：2015质量管理体系认证证书；</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②OHSAS 18001：2007职业健康安全管理体系认证证书；</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③ISO14001：2015环境管理体系认证证书；</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每提供一个得1分，最高得3分。</w:t>
            </w:r>
          </w:p>
          <w:p>
            <w:pPr>
              <w:pStyle w:val="25"/>
              <w:adjustRightInd/>
              <w:spacing w:line="360" w:lineRule="auto"/>
              <w:rPr>
                <w:rFonts w:ascii="宋体" w:hAnsi="宋体" w:cs="宋体"/>
                <w:szCs w:val="21"/>
              </w:rPr>
            </w:pPr>
            <w:r>
              <w:rPr>
                <w:rFonts w:hint="eastAsia" w:asciiTheme="minorEastAsia" w:hAnsiTheme="minorEastAsia" w:eastAsiaTheme="minorEastAsia" w:cstheme="minorEastAsia"/>
                <w:color w:val="auto"/>
                <w:kern w:val="2"/>
                <w:sz w:val="21"/>
                <w:szCs w:val="21"/>
                <w:lang w:val="zh-CN"/>
              </w:rPr>
              <w:t>（提供有效期内的有效认证证书复印件）</w:t>
            </w:r>
          </w:p>
        </w:tc>
        <w:tc>
          <w:tcPr>
            <w:tcW w:w="919" w:type="dxa"/>
            <w:tcBorders>
              <w:left w:val="single" w:color="auto" w:sz="4" w:space="0"/>
            </w:tcBorders>
            <w:vAlign w:val="center"/>
          </w:tcPr>
          <w:p>
            <w:pPr>
              <w:spacing w:line="360" w:lineRule="auto"/>
              <w:jc w:val="center"/>
              <w:rPr>
                <w:rFonts w:ascii="宋体" w:hAnsi="宋体" w:cs="宋体"/>
                <w:szCs w:val="21"/>
              </w:rPr>
            </w:pPr>
            <w:r>
              <w:rPr>
                <w:rFonts w:hint="eastAsia" w:asciiTheme="minorEastAsia" w:hAnsiTheme="minorEastAsia" w:eastAsiaTheme="minorEastAsia" w:cstheme="minorEastAsia"/>
                <w:szCs w:val="21"/>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95" w:hRule="atLeast"/>
        </w:trPr>
        <w:tc>
          <w:tcPr>
            <w:tcW w:w="717" w:type="dxa"/>
            <w:tcBorders>
              <w:top w:val="single" w:color="auto" w:sz="4" w:space="0"/>
              <w:bottom w:val="single" w:color="auto" w:sz="4" w:space="0"/>
            </w:tcBorders>
            <w:vAlign w:val="center"/>
          </w:tcPr>
          <w:p>
            <w:pPr>
              <w:pStyle w:val="24"/>
              <w:numPr>
                <w:ilvl w:val="0"/>
                <w:numId w:val="20"/>
              </w:numPr>
              <w:ind w:firstLineChars="0"/>
              <w:jc w:val="center"/>
              <w:rPr>
                <w:rFonts w:ascii="宋体" w:hAnsi="宋体"/>
                <w:szCs w:val="21"/>
              </w:rPr>
            </w:pPr>
          </w:p>
        </w:tc>
        <w:tc>
          <w:tcPr>
            <w:tcW w:w="1243" w:type="dxa"/>
            <w:vAlign w:val="center"/>
          </w:tcPr>
          <w:p>
            <w:pPr>
              <w:spacing w:line="360" w:lineRule="auto"/>
              <w:jc w:val="center"/>
              <w:rPr>
                <w:rFonts w:ascii="宋体" w:hAnsi="宋体" w:cs="宋体"/>
                <w:szCs w:val="21"/>
              </w:rPr>
            </w:pPr>
            <w:r>
              <w:rPr>
                <w:rFonts w:hint="eastAsia" w:asciiTheme="minorEastAsia" w:hAnsiTheme="minorEastAsia" w:eastAsiaTheme="minorEastAsia" w:cstheme="minorEastAsia"/>
                <w:szCs w:val="21"/>
              </w:rPr>
              <w:t>投入本项目的服务人员</w:t>
            </w:r>
          </w:p>
        </w:tc>
        <w:tc>
          <w:tcPr>
            <w:tcW w:w="6579" w:type="dxa"/>
            <w:vAlign w:val="center"/>
          </w:tcPr>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竞选人投入本项目的服务人员数量≥15人的，得5分；</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15人＜投入本项目的服务人员数量≤10人的，得4分；</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10人＜投入本项目的服务人员数量≤5人的，得3分；</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投入本项目的服务人员数量＜5人的，得2分。</w:t>
            </w:r>
          </w:p>
          <w:p>
            <w:pPr>
              <w:pStyle w:val="25"/>
              <w:adjustRightInd/>
              <w:spacing w:line="360" w:lineRule="auto"/>
              <w:rPr>
                <w:rFonts w:ascii="宋体" w:hAnsi="宋体" w:cs="宋体"/>
                <w:szCs w:val="21"/>
              </w:rPr>
            </w:pPr>
            <w:r>
              <w:rPr>
                <w:rFonts w:hint="eastAsia" w:asciiTheme="minorEastAsia" w:hAnsiTheme="minorEastAsia" w:eastAsiaTheme="minorEastAsia" w:cstheme="minorEastAsia"/>
                <w:color w:val="auto"/>
                <w:kern w:val="2"/>
                <w:sz w:val="21"/>
                <w:szCs w:val="21"/>
                <w:lang w:val="zh-CN"/>
              </w:rPr>
              <w:t>备注：须同时提供①人员资质证书复印件、②在竞选人任职的外部证明材料(如加盖社会保险基金管理中心印章的打印日期在本项目竞标截止日之前连续六个月的《投保单》或《社会保险参保人员缴费证明》或单位代缴个人所得税税单（在本项目竞标截止日之前连续六个月）的复印件。无或未按要求提供的不得分。</w:t>
            </w:r>
          </w:p>
        </w:tc>
        <w:tc>
          <w:tcPr>
            <w:tcW w:w="919" w:type="dxa"/>
            <w:tcBorders>
              <w:left w:val="single" w:color="auto" w:sz="4" w:space="0"/>
            </w:tcBorders>
            <w:vAlign w:val="center"/>
          </w:tcPr>
          <w:p>
            <w:pPr>
              <w:spacing w:line="360" w:lineRule="auto"/>
              <w:jc w:val="center"/>
              <w:rPr>
                <w:rFonts w:ascii="宋体" w:hAnsi="宋体" w:cs="宋体"/>
                <w:szCs w:val="21"/>
              </w:rPr>
            </w:pPr>
            <w:r>
              <w:rPr>
                <w:rFonts w:hint="eastAsia" w:asciiTheme="minorEastAsia" w:hAnsiTheme="minorEastAsia" w:eastAsiaTheme="minorEastAsia" w:cstheme="minorEastAsia"/>
                <w:szCs w:val="21"/>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tcBorders>
              <w:top w:val="single" w:color="auto" w:sz="4" w:space="0"/>
              <w:bottom w:val="single" w:color="auto" w:sz="4" w:space="0"/>
            </w:tcBorders>
            <w:vAlign w:val="center"/>
          </w:tcPr>
          <w:p>
            <w:pPr>
              <w:pStyle w:val="24"/>
              <w:numPr>
                <w:ilvl w:val="0"/>
                <w:numId w:val="20"/>
              </w:numPr>
              <w:ind w:firstLineChars="0"/>
              <w:jc w:val="center"/>
              <w:rPr>
                <w:rFonts w:ascii="宋体" w:hAnsi="宋体"/>
                <w:szCs w:val="21"/>
              </w:rPr>
            </w:pPr>
          </w:p>
        </w:tc>
        <w:tc>
          <w:tcPr>
            <w:tcW w:w="1243" w:type="dxa"/>
            <w:vAlign w:val="center"/>
          </w:tcPr>
          <w:p>
            <w:pPr>
              <w:spacing w:line="360" w:lineRule="auto"/>
              <w:jc w:val="center"/>
              <w:rPr>
                <w:rFonts w:ascii="宋体" w:hAnsi="宋体"/>
                <w:szCs w:val="21"/>
              </w:rPr>
            </w:pPr>
            <w:r>
              <w:rPr>
                <w:rFonts w:hint="eastAsia" w:asciiTheme="minorEastAsia" w:hAnsiTheme="minorEastAsia" w:eastAsiaTheme="minorEastAsia" w:cstheme="minorEastAsia"/>
                <w:szCs w:val="21"/>
              </w:rPr>
              <w:t>2017年至今</w:t>
            </w:r>
            <w:r>
              <w:rPr>
                <w:rFonts w:hint="eastAsia" w:asciiTheme="minorEastAsia" w:hAnsiTheme="minorEastAsia" w:eastAsiaTheme="minorEastAsia" w:cstheme="minorEastAsia"/>
                <w:szCs w:val="21"/>
                <w:lang w:val="en-US" w:eastAsia="zh-CN"/>
              </w:rPr>
              <w:t>实验室仪器设备</w:t>
            </w:r>
            <w:r>
              <w:rPr>
                <w:rFonts w:hint="eastAsia" w:asciiTheme="minorEastAsia" w:hAnsiTheme="minorEastAsia" w:eastAsiaTheme="minorEastAsia" w:cstheme="minorEastAsia"/>
                <w:szCs w:val="21"/>
              </w:rPr>
              <w:t>类项目业绩</w:t>
            </w:r>
          </w:p>
        </w:tc>
        <w:tc>
          <w:tcPr>
            <w:tcW w:w="6579" w:type="dxa"/>
            <w:vAlign w:val="center"/>
          </w:tcPr>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提供2017年至今</w:t>
            </w:r>
            <w:r>
              <w:rPr>
                <w:rFonts w:hint="eastAsia" w:asciiTheme="minorEastAsia" w:hAnsiTheme="minorEastAsia" w:eastAsiaTheme="minorEastAsia" w:cstheme="minorEastAsia"/>
                <w:color w:val="auto"/>
                <w:kern w:val="2"/>
                <w:sz w:val="21"/>
                <w:szCs w:val="21"/>
                <w:lang w:val="en-US" w:eastAsia="zh-CN"/>
              </w:rPr>
              <w:t>实验室仪器设备</w:t>
            </w:r>
            <w:r>
              <w:rPr>
                <w:rFonts w:hint="eastAsia" w:asciiTheme="minorEastAsia" w:hAnsiTheme="minorEastAsia" w:eastAsiaTheme="minorEastAsia" w:cstheme="minorEastAsia"/>
                <w:color w:val="auto"/>
                <w:kern w:val="2"/>
                <w:sz w:val="21"/>
                <w:szCs w:val="21"/>
                <w:lang w:val="zh-CN"/>
              </w:rPr>
              <w:t>类项目业绩：</w:t>
            </w:r>
          </w:p>
          <w:p>
            <w:pPr>
              <w:pStyle w:val="25"/>
              <w:adjustRightInd/>
              <w:spacing w:line="360" w:lineRule="auto"/>
              <w:rPr>
                <w:rFonts w:hint="eastAsia" w:asciiTheme="minorEastAsia" w:hAnsiTheme="minorEastAsia" w:eastAsiaTheme="minorEastAsia" w:cstheme="minorEastAsia"/>
                <w:color w:val="auto"/>
                <w:kern w:val="2"/>
                <w:sz w:val="21"/>
                <w:szCs w:val="21"/>
                <w:lang w:val="zh-CN"/>
              </w:rPr>
            </w:pPr>
            <w:r>
              <w:rPr>
                <w:rFonts w:hint="eastAsia" w:asciiTheme="minorEastAsia" w:hAnsiTheme="minorEastAsia" w:eastAsiaTheme="minorEastAsia" w:cstheme="minorEastAsia"/>
                <w:color w:val="auto"/>
                <w:kern w:val="2"/>
                <w:sz w:val="21"/>
                <w:szCs w:val="21"/>
                <w:lang w:val="zh-CN"/>
              </w:rPr>
              <w:t>每提供一项业绩得1分，最高得5分，无提供不得分；</w:t>
            </w:r>
          </w:p>
          <w:p>
            <w:pPr>
              <w:pStyle w:val="25"/>
              <w:adjustRightInd/>
              <w:spacing w:line="360" w:lineRule="auto"/>
              <w:rPr>
                <w:rFonts w:ascii="宋体" w:hAnsi="宋体" w:cs="宋体"/>
                <w:szCs w:val="21"/>
              </w:rPr>
            </w:pPr>
            <w:r>
              <w:rPr>
                <w:rFonts w:hint="eastAsia" w:asciiTheme="minorEastAsia" w:hAnsiTheme="minorEastAsia" w:eastAsiaTheme="minorEastAsia" w:cstheme="minorEastAsia"/>
                <w:color w:val="auto"/>
                <w:kern w:val="2"/>
                <w:sz w:val="21"/>
                <w:szCs w:val="21"/>
                <w:lang w:val="zh-CN"/>
              </w:rPr>
              <w:t>备注：竞选人须同时提供：</w:t>
            </w:r>
            <w:r>
              <w:rPr>
                <w:rFonts w:hint="eastAsia" w:asciiTheme="minorEastAsia" w:hAnsiTheme="minorEastAsia" w:eastAsiaTheme="minorEastAsia" w:cstheme="minorEastAsia"/>
                <w:color w:val="auto"/>
                <w:kern w:val="2"/>
                <w:sz w:val="21"/>
                <w:szCs w:val="21"/>
                <w:lang w:val="zh-CN"/>
              </w:rPr>
              <w:fldChar w:fldCharType="begin"/>
            </w:r>
            <w:r>
              <w:rPr>
                <w:rFonts w:hint="eastAsia" w:asciiTheme="minorEastAsia" w:hAnsiTheme="minorEastAsia" w:eastAsiaTheme="minorEastAsia" w:cstheme="minorEastAsia"/>
                <w:color w:val="auto"/>
                <w:kern w:val="2"/>
                <w:sz w:val="21"/>
                <w:szCs w:val="21"/>
                <w:lang w:val="zh-CN"/>
              </w:rPr>
              <w:instrText xml:space="preserve"> = 1 \* GB3 </w:instrText>
            </w:r>
            <w:r>
              <w:rPr>
                <w:rFonts w:hint="eastAsia" w:asciiTheme="minorEastAsia" w:hAnsiTheme="minorEastAsia" w:eastAsiaTheme="minorEastAsia" w:cstheme="minorEastAsia"/>
                <w:color w:val="auto"/>
                <w:kern w:val="2"/>
                <w:sz w:val="21"/>
                <w:szCs w:val="21"/>
                <w:lang w:val="zh-CN"/>
              </w:rPr>
              <w:fldChar w:fldCharType="separate"/>
            </w:r>
            <w:r>
              <w:rPr>
                <w:rFonts w:hint="eastAsia" w:asciiTheme="minorEastAsia" w:hAnsiTheme="minorEastAsia" w:eastAsiaTheme="minorEastAsia" w:cstheme="minorEastAsia"/>
                <w:color w:val="auto"/>
                <w:kern w:val="2"/>
                <w:sz w:val="21"/>
                <w:szCs w:val="21"/>
                <w:lang w:val="zh-CN"/>
              </w:rPr>
              <w:t>①</w:t>
            </w:r>
            <w:r>
              <w:rPr>
                <w:rFonts w:hint="eastAsia" w:asciiTheme="minorEastAsia" w:hAnsiTheme="minorEastAsia" w:eastAsiaTheme="minorEastAsia" w:cstheme="minorEastAsia"/>
                <w:color w:val="auto"/>
                <w:kern w:val="2"/>
                <w:sz w:val="21"/>
                <w:szCs w:val="21"/>
                <w:lang w:val="zh-CN"/>
              </w:rPr>
              <w:fldChar w:fldCharType="end"/>
            </w:r>
            <w:r>
              <w:rPr>
                <w:rFonts w:hint="eastAsia" w:asciiTheme="minorEastAsia" w:hAnsiTheme="minorEastAsia" w:eastAsiaTheme="minorEastAsia" w:cstheme="minorEastAsia"/>
                <w:color w:val="auto"/>
                <w:kern w:val="2"/>
                <w:sz w:val="21"/>
                <w:szCs w:val="21"/>
                <w:lang w:val="zh-CN"/>
              </w:rPr>
              <w:t>中标通知书、</w:t>
            </w:r>
            <w:r>
              <w:rPr>
                <w:rFonts w:hint="eastAsia" w:asciiTheme="minorEastAsia" w:hAnsiTheme="minorEastAsia" w:eastAsiaTheme="minorEastAsia" w:cstheme="minorEastAsia"/>
                <w:color w:val="auto"/>
                <w:kern w:val="2"/>
                <w:sz w:val="21"/>
                <w:szCs w:val="21"/>
                <w:lang w:val="zh-CN"/>
              </w:rPr>
              <w:fldChar w:fldCharType="begin"/>
            </w:r>
            <w:r>
              <w:rPr>
                <w:rFonts w:hint="eastAsia" w:asciiTheme="minorEastAsia" w:hAnsiTheme="minorEastAsia" w:eastAsiaTheme="minorEastAsia" w:cstheme="minorEastAsia"/>
                <w:color w:val="auto"/>
                <w:kern w:val="2"/>
                <w:sz w:val="21"/>
                <w:szCs w:val="21"/>
                <w:lang w:val="zh-CN"/>
              </w:rPr>
              <w:instrText xml:space="preserve"> = 2 \* GB3 </w:instrText>
            </w:r>
            <w:r>
              <w:rPr>
                <w:rFonts w:hint="eastAsia" w:asciiTheme="minorEastAsia" w:hAnsiTheme="minorEastAsia" w:eastAsiaTheme="minorEastAsia" w:cstheme="minorEastAsia"/>
                <w:color w:val="auto"/>
                <w:kern w:val="2"/>
                <w:sz w:val="21"/>
                <w:szCs w:val="21"/>
                <w:lang w:val="zh-CN"/>
              </w:rPr>
              <w:fldChar w:fldCharType="separate"/>
            </w:r>
            <w:r>
              <w:rPr>
                <w:rFonts w:hint="eastAsia" w:asciiTheme="minorEastAsia" w:hAnsiTheme="minorEastAsia" w:eastAsiaTheme="minorEastAsia" w:cstheme="minorEastAsia"/>
                <w:color w:val="auto"/>
                <w:kern w:val="2"/>
                <w:sz w:val="21"/>
                <w:szCs w:val="21"/>
                <w:lang w:val="zh-CN"/>
              </w:rPr>
              <w:t>②</w:t>
            </w:r>
            <w:r>
              <w:rPr>
                <w:rFonts w:hint="eastAsia" w:asciiTheme="minorEastAsia" w:hAnsiTheme="minorEastAsia" w:eastAsiaTheme="minorEastAsia" w:cstheme="minorEastAsia"/>
                <w:color w:val="auto"/>
                <w:kern w:val="2"/>
                <w:sz w:val="21"/>
                <w:szCs w:val="21"/>
                <w:lang w:val="zh-CN"/>
              </w:rPr>
              <w:fldChar w:fldCharType="end"/>
            </w:r>
            <w:r>
              <w:rPr>
                <w:rFonts w:hint="eastAsia" w:asciiTheme="minorEastAsia" w:hAnsiTheme="minorEastAsia" w:eastAsiaTheme="minorEastAsia" w:cstheme="minorEastAsia"/>
                <w:color w:val="auto"/>
                <w:kern w:val="2"/>
                <w:sz w:val="21"/>
                <w:szCs w:val="21"/>
                <w:lang w:val="zh-CN"/>
              </w:rPr>
              <w:t>验收报告、</w:t>
            </w:r>
            <w:r>
              <w:rPr>
                <w:rFonts w:hint="eastAsia" w:asciiTheme="minorEastAsia" w:hAnsiTheme="minorEastAsia" w:eastAsiaTheme="minorEastAsia" w:cstheme="minorEastAsia"/>
                <w:color w:val="auto"/>
                <w:kern w:val="2"/>
                <w:sz w:val="21"/>
                <w:szCs w:val="21"/>
                <w:lang w:val="zh-CN"/>
              </w:rPr>
              <w:fldChar w:fldCharType="begin"/>
            </w:r>
            <w:r>
              <w:rPr>
                <w:rFonts w:hint="eastAsia" w:asciiTheme="minorEastAsia" w:hAnsiTheme="minorEastAsia" w:eastAsiaTheme="minorEastAsia" w:cstheme="minorEastAsia"/>
                <w:color w:val="auto"/>
                <w:kern w:val="2"/>
                <w:sz w:val="21"/>
                <w:szCs w:val="21"/>
                <w:lang w:val="zh-CN"/>
              </w:rPr>
              <w:instrText xml:space="preserve"> = 3 \* GB3 </w:instrText>
            </w:r>
            <w:r>
              <w:rPr>
                <w:rFonts w:hint="eastAsia" w:asciiTheme="minorEastAsia" w:hAnsiTheme="minorEastAsia" w:eastAsiaTheme="minorEastAsia" w:cstheme="minorEastAsia"/>
                <w:color w:val="auto"/>
                <w:kern w:val="2"/>
                <w:sz w:val="21"/>
                <w:szCs w:val="21"/>
                <w:lang w:val="zh-CN"/>
              </w:rPr>
              <w:fldChar w:fldCharType="separate"/>
            </w:r>
            <w:r>
              <w:rPr>
                <w:rFonts w:hint="eastAsia" w:asciiTheme="minorEastAsia" w:hAnsiTheme="minorEastAsia" w:eastAsiaTheme="minorEastAsia" w:cstheme="minorEastAsia"/>
                <w:color w:val="auto"/>
                <w:kern w:val="2"/>
                <w:sz w:val="21"/>
                <w:szCs w:val="21"/>
                <w:lang w:val="zh-CN"/>
              </w:rPr>
              <w:t>③</w:t>
            </w:r>
            <w:r>
              <w:rPr>
                <w:rFonts w:hint="eastAsia" w:asciiTheme="minorEastAsia" w:hAnsiTheme="minorEastAsia" w:eastAsiaTheme="minorEastAsia" w:cstheme="minorEastAsia"/>
                <w:color w:val="auto"/>
                <w:kern w:val="2"/>
                <w:sz w:val="21"/>
                <w:szCs w:val="21"/>
                <w:lang w:val="zh-CN"/>
              </w:rPr>
              <w:fldChar w:fldCharType="end"/>
            </w:r>
            <w:r>
              <w:rPr>
                <w:rFonts w:hint="eastAsia" w:asciiTheme="minorEastAsia" w:hAnsiTheme="minorEastAsia" w:eastAsiaTheme="minorEastAsia" w:cstheme="minorEastAsia"/>
                <w:color w:val="auto"/>
                <w:kern w:val="2"/>
                <w:sz w:val="21"/>
                <w:szCs w:val="21"/>
                <w:lang w:val="zh-CN"/>
              </w:rPr>
              <w:t>合同关键页（合同关键页含签订合同双方的单位名称、合同项目名称、项目金额与含签订合同双方的落款盖章、签订日期的关键页）复印件作为证明材料，无或未按要求提供的不得分。</w:t>
            </w:r>
          </w:p>
        </w:tc>
        <w:tc>
          <w:tcPr>
            <w:tcW w:w="919" w:type="dxa"/>
            <w:tcBorders>
              <w:left w:val="single" w:color="auto" w:sz="4" w:space="0"/>
            </w:tcBorders>
            <w:vAlign w:val="center"/>
          </w:tcPr>
          <w:p>
            <w:pPr>
              <w:spacing w:line="360" w:lineRule="auto"/>
              <w:ind w:left="4800" w:hanging="4800"/>
              <w:jc w:val="center"/>
              <w:rPr>
                <w:rFonts w:ascii="宋体" w:hAnsi="宋体" w:cs="宋体"/>
                <w:szCs w:val="21"/>
              </w:rPr>
            </w:pPr>
            <w:r>
              <w:rPr>
                <w:rFonts w:hint="eastAsia" w:asciiTheme="minorEastAsia" w:hAnsiTheme="minorEastAsia" w:eastAsiaTheme="minorEastAsia" w:cstheme="minorEastAsia"/>
                <w:bCs/>
                <w:szCs w:val="21"/>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83" w:hRule="atLeast"/>
        </w:trPr>
        <w:tc>
          <w:tcPr>
            <w:tcW w:w="717" w:type="dxa"/>
            <w:tcBorders>
              <w:top w:val="single" w:color="auto" w:sz="4" w:space="0"/>
              <w:bottom w:val="single" w:color="auto" w:sz="4" w:space="0"/>
            </w:tcBorders>
            <w:vAlign w:val="center"/>
          </w:tcPr>
          <w:p>
            <w:pPr>
              <w:pStyle w:val="24"/>
              <w:numPr>
                <w:ilvl w:val="0"/>
                <w:numId w:val="20"/>
              </w:numPr>
              <w:ind w:firstLineChars="0"/>
              <w:jc w:val="center"/>
              <w:rPr>
                <w:rFonts w:ascii="宋体" w:hAnsi="宋体"/>
                <w:szCs w:val="21"/>
              </w:rPr>
            </w:pPr>
          </w:p>
        </w:tc>
        <w:tc>
          <w:tcPr>
            <w:tcW w:w="1243" w:type="dxa"/>
            <w:vAlign w:val="center"/>
          </w:tcPr>
          <w:p>
            <w:pPr>
              <w:spacing w:line="360" w:lineRule="auto"/>
              <w:jc w:val="center"/>
              <w:rPr>
                <w:rFonts w:ascii="宋体" w:hAnsi="宋体" w:cs="宋体"/>
                <w:szCs w:val="21"/>
              </w:rPr>
            </w:pPr>
            <w:r>
              <w:rPr>
                <w:rFonts w:hint="eastAsia" w:asciiTheme="minorEastAsia" w:hAnsiTheme="minorEastAsia" w:eastAsiaTheme="minorEastAsia" w:cstheme="minorEastAsia"/>
                <w:szCs w:val="21"/>
              </w:rPr>
              <w:t>竞选人信誉情况</w:t>
            </w:r>
          </w:p>
        </w:tc>
        <w:tc>
          <w:tcPr>
            <w:tcW w:w="6579" w:type="dxa"/>
            <w:vAlign w:val="center"/>
          </w:tcPr>
          <w:p>
            <w:pPr>
              <w:numPr>
                <w:ilvl w:val="0"/>
                <w:numId w:val="0"/>
              </w:numPr>
              <w:spacing w:line="360" w:lineRule="auto"/>
              <w:ind w:lef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kern w:val="2"/>
                <w:sz w:val="21"/>
                <w:szCs w:val="21"/>
                <w:lang w:val="zh-CN"/>
              </w:rPr>
              <w:t>①</w:t>
            </w:r>
            <w:r>
              <w:rPr>
                <w:rFonts w:hint="eastAsia" w:asciiTheme="minorEastAsia" w:hAnsiTheme="minorEastAsia" w:eastAsiaTheme="minorEastAsia" w:cstheme="minorEastAsia"/>
                <w:szCs w:val="21"/>
              </w:rPr>
              <w:t>竞选人获得具备市场监督管理局的颁发“守合同重信用”企业称号，连续三年（含三年）及以上得3分，二年得2分，一年得1分，其他不得分；</w:t>
            </w:r>
          </w:p>
          <w:p>
            <w:pPr>
              <w:numPr>
                <w:ilvl w:val="0"/>
                <w:numId w:val="0"/>
              </w:numPr>
              <w:spacing w:line="360" w:lineRule="auto"/>
              <w:ind w:lef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kern w:val="2"/>
                <w:sz w:val="21"/>
                <w:szCs w:val="21"/>
                <w:lang w:val="zh-CN"/>
              </w:rPr>
              <w:t>②</w:t>
            </w:r>
            <w:r>
              <w:rPr>
                <w:rFonts w:hint="eastAsia" w:asciiTheme="minorEastAsia" w:hAnsiTheme="minorEastAsia" w:eastAsiaTheme="minorEastAsia" w:cstheme="minorEastAsia"/>
                <w:szCs w:val="21"/>
              </w:rPr>
              <w:t>获得第三方评级机构出具的AAA证书的，得2分，其他不得分。</w:t>
            </w:r>
          </w:p>
          <w:p>
            <w:pPr>
              <w:numPr>
                <w:ilvl w:val="0"/>
                <w:numId w:val="0"/>
              </w:numPr>
              <w:spacing w:line="360" w:lineRule="auto"/>
              <w:ind w:leftChars="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auto"/>
                <w:kern w:val="2"/>
                <w:sz w:val="21"/>
                <w:szCs w:val="21"/>
                <w:lang w:val="zh-CN"/>
              </w:rPr>
              <w:t>③</w:t>
            </w:r>
            <w:r>
              <w:rPr>
                <w:rFonts w:hint="eastAsia" w:asciiTheme="minorEastAsia" w:hAnsiTheme="minorEastAsia" w:eastAsiaTheme="minorEastAsia" w:cstheme="minorEastAsia"/>
                <w:szCs w:val="21"/>
              </w:rPr>
              <w:t>具备市级及以上纳税信用等级A级纳税人称号单位，得2分，不提供不得分。</w:t>
            </w:r>
          </w:p>
          <w:p>
            <w:pPr>
              <w:spacing w:line="360" w:lineRule="auto"/>
              <w:jc w:val="left"/>
              <w:rPr>
                <w:rFonts w:ascii="宋体" w:hAnsi="宋体" w:cs="宋体"/>
                <w:szCs w:val="21"/>
              </w:rPr>
            </w:pPr>
            <w:r>
              <w:rPr>
                <w:rFonts w:hint="eastAsia" w:asciiTheme="minorEastAsia" w:hAnsiTheme="minorEastAsia" w:eastAsiaTheme="minorEastAsia" w:cstheme="minorEastAsia"/>
              </w:rPr>
              <w:t>（提供有效认证证书复印件，否则不得分）</w:t>
            </w:r>
          </w:p>
        </w:tc>
        <w:tc>
          <w:tcPr>
            <w:tcW w:w="919" w:type="dxa"/>
            <w:tcBorders>
              <w:left w:val="single" w:color="auto" w:sz="4" w:space="0"/>
            </w:tcBorders>
            <w:vAlign w:val="center"/>
          </w:tcPr>
          <w:p>
            <w:pPr>
              <w:spacing w:line="360" w:lineRule="auto"/>
              <w:ind w:left="4800" w:hanging="4800"/>
              <w:jc w:val="center"/>
              <w:rPr>
                <w:rFonts w:ascii="宋体" w:hAnsi="宋体"/>
                <w:szCs w:val="21"/>
              </w:rPr>
            </w:pPr>
            <w:r>
              <w:rPr>
                <w:rFonts w:hint="eastAsia" w:asciiTheme="minorEastAsia" w:hAnsiTheme="minorEastAsia" w:eastAsiaTheme="minorEastAsia" w:cstheme="minorEastAsia"/>
                <w:bCs/>
                <w:szCs w:val="21"/>
              </w:rPr>
              <w:t>7分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2" w:hRule="atLeast"/>
        </w:trPr>
        <w:tc>
          <w:tcPr>
            <w:tcW w:w="8539" w:type="dxa"/>
            <w:gridSpan w:val="3"/>
            <w:vAlign w:val="center"/>
          </w:tcPr>
          <w:p>
            <w:pPr>
              <w:ind w:left="-78" w:leftChars="-37" w:right="-73" w:rightChars="-35"/>
              <w:jc w:val="center"/>
              <w:rPr>
                <w:rFonts w:ascii="宋体" w:hAnsi="宋体" w:cs="宋体"/>
                <w:b/>
                <w:bCs/>
                <w:szCs w:val="21"/>
              </w:rPr>
            </w:pPr>
            <w:r>
              <w:rPr>
                <w:rFonts w:hint="eastAsia"/>
                <w:b/>
                <w:bCs/>
                <w:szCs w:val="21"/>
              </w:rPr>
              <w:t>技术商务部分合计</w:t>
            </w:r>
          </w:p>
        </w:tc>
        <w:tc>
          <w:tcPr>
            <w:tcW w:w="919" w:type="dxa"/>
            <w:tcBorders>
              <w:left w:val="single" w:color="auto" w:sz="4" w:space="0"/>
            </w:tcBorders>
            <w:vAlign w:val="center"/>
          </w:tcPr>
          <w:p>
            <w:pPr>
              <w:ind w:left="-78" w:leftChars="-37" w:right="-73" w:rightChars="-35"/>
              <w:jc w:val="center"/>
              <w:rPr>
                <w:rFonts w:ascii="宋体" w:hAnsi="宋体" w:cs="宋体"/>
                <w:b/>
                <w:bCs/>
                <w:szCs w:val="21"/>
              </w:rPr>
            </w:pPr>
            <w:r>
              <w:rPr>
                <w:rFonts w:hint="eastAsia" w:ascii="宋体" w:hAnsi="宋体" w:cs="宋体"/>
                <w:b/>
                <w:bCs/>
                <w:szCs w:val="21"/>
              </w:rPr>
              <w:t>65分</w:t>
            </w:r>
          </w:p>
        </w:tc>
      </w:tr>
    </w:tbl>
    <w:p>
      <w:pPr>
        <w:widowControl/>
        <w:jc w:val="left"/>
        <w:rPr>
          <w:rFonts w:asciiTheme="minorEastAsia" w:hAnsiTheme="minorEastAsia" w:eastAsiaTheme="minorEastAsia" w:cstheme="minorEastAsia"/>
          <w:b/>
          <w:spacing w:val="20"/>
          <w:szCs w:val="21"/>
        </w:rPr>
      </w:pPr>
      <w:r>
        <w:rPr>
          <w:rFonts w:hint="eastAsia" w:asciiTheme="minorEastAsia" w:hAnsiTheme="minorEastAsia" w:eastAsiaTheme="minorEastAsia" w:cstheme="minorEastAsia"/>
          <w:b/>
          <w:spacing w:val="20"/>
          <w:szCs w:val="21"/>
        </w:rPr>
        <w:br w:type="page"/>
      </w:r>
    </w:p>
    <w:p>
      <w:pPr>
        <w:widowControl/>
        <w:jc w:val="left"/>
        <w:rPr>
          <w:rFonts w:asciiTheme="minorEastAsia" w:hAnsiTheme="minorEastAsia" w:eastAsiaTheme="minorEastAsia" w:cstheme="minorEastAsia"/>
          <w:b/>
          <w:spacing w:val="20"/>
          <w:szCs w:val="21"/>
        </w:rPr>
      </w:pPr>
    </w:p>
    <w:p>
      <w:pPr>
        <w:adjustRightInd w:val="0"/>
        <w:snapToGrid w:val="0"/>
        <w:spacing w:beforeLines="50" w:afterLines="50" w:line="360" w:lineRule="auto"/>
        <w:jc w:val="left"/>
        <w:outlineLvl w:val="1"/>
        <w:rPr>
          <w:rFonts w:ascii="黑体" w:hAnsi="黑体" w:eastAsia="黑体" w:cs="黑体"/>
          <w:sz w:val="28"/>
          <w:szCs w:val="28"/>
        </w:rPr>
      </w:pPr>
      <w:bookmarkStart w:id="332" w:name="_Toc20249"/>
      <w:bookmarkStart w:id="333" w:name="_Toc28216"/>
      <w:bookmarkStart w:id="334" w:name="_Toc11222"/>
      <w:bookmarkStart w:id="335" w:name="_Toc18488"/>
      <w:bookmarkStart w:id="336" w:name="_Toc5231"/>
      <w:r>
        <w:rPr>
          <w:rFonts w:hint="eastAsia" w:ascii="黑体" w:hAnsi="黑体" w:eastAsia="黑体" w:cs="黑体"/>
          <w:sz w:val="28"/>
          <w:szCs w:val="28"/>
        </w:rPr>
        <w:t>附表三</w:t>
      </w:r>
      <w:bookmarkEnd w:id="332"/>
      <w:bookmarkEnd w:id="333"/>
      <w:bookmarkEnd w:id="334"/>
      <w:bookmarkEnd w:id="335"/>
      <w:bookmarkEnd w:id="336"/>
    </w:p>
    <w:p>
      <w:pPr>
        <w:adjustRightInd w:val="0"/>
        <w:snapToGrid w:val="0"/>
        <w:spacing w:beforeLines="50" w:afterLines="50" w:line="360" w:lineRule="auto"/>
        <w:jc w:val="center"/>
        <w:outlineLvl w:val="1"/>
        <w:rPr>
          <w:rFonts w:ascii="黑体" w:hAnsi="黑体" w:eastAsia="黑体" w:cs="黑体"/>
          <w:sz w:val="28"/>
          <w:szCs w:val="28"/>
        </w:rPr>
      </w:pPr>
      <w:bookmarkStart w:id="337" w:name="_Toc897"/>
      <w:bookmarkStart w:id="338" w:name="_Toc21765"/>
      <w:bookmarkStart w:id="339" w:name="_Toc24397"/>
      <w:bookmarkStart w:id="340" w:name="_Toc20075"/>
      <w:bookmarkStart w:id="341" w:name="_Toc18730"/>
      <w:r>
        <w:rPr>
          <w:rFonts w:hint="eastAsia" w:ascii="黑体" w:hAnsi="黑体" w:eastAsia="黑体" w:cs="黑体"/>
          <w:sz w:val="28"/>
          <w:szCs w:val="28"/>
        </w:rPr>
        <w:t>价 格 评 分 表（35分）</w:t>
      </w:r>
      <w:bookmarkEnd w:id="337"/>
      <w:bookmarkEnd w:id="338"/>
      <w:bookmarkEnd w:id="339"/>
      <w:bookmarkEnd w:id="340"/>
      <w:bookmarkEnd w:id="341"/>
    </w:p>
    <w:tbl>
      <w:tblPr>
        <w:tblStyle w:val="21"/>
        <w:tblpPr w:leftFromText="180" w:rightFromText="180" w:vertAnchor="text" w:horzAnchor="page" w:tblpX="1153" w:tblpY="314"/>
        <w:tblOverlap w:val="never"/>
        <w:tblW w:w="1006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19"/>
        <w:gridCol w:w="1643"/>
        <w:gridCol w:w="2717"/>
        <w:gridCol w:w="2278"/>
        <w:gridCol w:w="29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5" w:hRule="atLeast"/>
        </w:trPr>
        <w:tc>
          <w:tcPr>
            <w:tcW w:w="519" w:type="dxa"/>
            <w:vMerge w:val="restart"/>
            <w:tcBorders>
              <w:left w:val="single" w:color="auto" w:sz="12" w:space="0"/>
            </w:tcBorders>
            <w:shd w:val="clear" w:color="auto" w:fill="D0CECE" w:themeFill="background2" w:themeFillShade="E6"/>
            <w:textDirection w:val="lrTb"/>
            <w:vAlign w:val="center"/>
          </w:tcPr>
          <w:p>
            <w:pPr>
              <w:snapToGrid w:val="0"/>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color w:val="auto"/>
                <w:sz w:val="24"/>
                <w:highlight w:val="none"/>
              </w:rPr>
              <w:t>序号</w:t>
            </w:r>
          </w:p>
        </w:tc>
        <w:tc>
          <w:tcPr>
            <w:tcW w:w="1643" w:type="dxa"/>
            <w:vMerge w:val="restart"/>
            <w:shd w:val="clear" w:color="auto" w:fill="D0CECE" w:themeFill="background2" w:themeFillShade="E6"/>
            <w:textDirection w:val="lrTb"/>
            <w:vAlign w:val="center"/>
          </w:tcPr>
          <w:p>
            <w:pPr>
              <w:snapToGrid w:val="0"/>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color w:val="auto"/>
                <w:sz w:val="24"/>
                <w:highlight w:val="none"/>
                <w:lang w:val="en-US" w:eastAsia="zh-CN"/>
              </w:rPr>
              <w:t>竞选单位名称</w:t>
            </w:r>
          </w:p>
        </w:tc>
        <w:tc>
          <w:tcPr>
            <w:tcW w:w="2717" w:type="dxa"/>
            <w:shd w:val="clear" w:color="auto" w:fill="D0CECE" w:themeFill="background2" w:themeFillShade="E6"/>
            <w:textDirection w:val="lrTb"/>
            <w:vAlign w:val="center"/>
          </w:tcPr>
          <w:p>
            <w:pPr>
              <w:snapToGrid w:val="0"/>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竞选单位报价（评审价）</w:t>
            </w:r>
          </w:p>
        </w:tc>
        <w:tc>
          <w:tcPr>
            <w:tcW w:w="2278" w:type="dxa"/>
            <w:vMerge w:val="restart"/>
            <w:shd w:val="clear" w:color="auto" w:fill="D0CECE" w:themeFill="background2" w:themeFillShade="E6"/>
            <w:textDirection w:val="lrTb"/>
            <w:vAlign w:val="center"/>
          </w:tcPr>
          <w:p>
            <w:pPr>
              <w:snapToGrid w:val="0"/>
              <w:spacing w:line="360" w:lineRule="auto"/>
              <w:jc w:val="center"/>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基准价（最低评审价）</w:t>
            </w:r>
          </w:p>
        </w:tc>
        <w:tc>
          <w:tcPr>
            <w:tcW w:w="2903" w:type="dxa"/>
            <w:vMerge w:val="restart"/>
            <w:tcBorders>
              <w:right w:val="single" w:color="auto" w:sz="12" w:space="0"/>
            </w:tcBorders>
            <w:shd w:val="clear" w:color="auto" w:fill="D0CECE" w:themeFill="background2" w:themeFillShade="E6"/>
            <w:textDirection w:val="lrTb"/>
            <w:vAlign w:val="center"/>
          </w:tcPr>
          <w:p>
            <w:pPr>
              <w:snapToGrid w:val="0"/>
              <w:spacing w:line="360" w:lineRule="auto"/>
              <w:jc w:val="center"/>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价格</w:t>
            </w:r>
            <w:r>
              <w:rPr>
                <w:rFonts w:hint="eastAsia" w:asciiTheme="minorEastAsia" w:hAnsiTheme="minorEastAsia" w:cstheme="minorEastAsia"/>
                <w:b/>
                <w:bCs w:val="0"/>
                <w:color w:val="auto"/>
                <w:sz w:val="24"/>
                <w:highlight w:val="none"/>
                <w:lang w:val="en-US" w:eastAsia="zh-CN"/>
              </w:rPr>
              <w:t>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5" w:hRule="atLeast"/>
        </w:trPr>
        <w:tc>
          <w:tcPr>
            <w:tcW w:w="519" w:type="dxa"/>
            <w:vMerge w:val="continue"/>
            <w:tcBorders>
              <w:left w:val="single" w:color="auto" w:sz="12" w:space="0"/>
            </w:tcBorders>
            <w:shd w:val="clear" w:color="auto" w:fill="D0CECE" w:themeFill="background2" w:themeFillShade="E6"/>
            <w:textDirection w:val="lrTb"/>
            <w:vAlign w:val="center"/>
          </w:tcPr>
          <w:p>
            <w:pPr>
              <w:snapToGrid w:val="0"/>
              <w:spacing w:line="360" w:lineRule="auto"/>
              <w:jc w:val="center"/>
              <w:rPr>
                <w:rFonts w:hint="eastAsia" w:asciiTheme="minorEastAsia" w:hAnsiTheme="minorEastAsia" w:eastAsiaTheme="minorEastAsia" w:cstheme="minorEastAsia"/>
                <w:b/>
                <w:color w:val="auto"/>
                <w:sz w:val="24"/>
                <w:highlight w:val="none"/>
              </w:rPr>
            </w:pPr>
          </w:p>
        </w:tc>
        <w:tc>
          <w:tcPr>
            <w:tcW w:w="1643" w:type="dxa"/>
            <w:vMerge w:val="continue"/>
            <w:shd w:val="clear" w:color="auto" w:fill="D0CECE" w:themeFill="background2" w:themeFillShade="E6"/>
            <w:textDirection w:val="lrTb"/>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p>
        </w:tc>
        <w:tc>
          <w:tcPr>
            <w:tcW w:w="2717" w:type="dxa"/>
            <w:shd w:val="clear" w:color="auto" w:fill="D0CECE" w:themeFill="background2" w:themeFillShade="E6"/>
            <w:textDirection w:val="lrTb"/>
            <w:vAlign w:val="center"/>
          </w:tcPr>
          <w:p>
            <w:pPr>
              <w:snapToGrid w:val="0"/>
              <w:spacing w:line="360" w:lineRule="auto"/>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价格评分总分（35）</w:t>
            </w:r>
          </w:p>
        </w:tc>
        <w:tc>
          <w:tcPr>
            <w:tcW w:w="2278" w:type="dxa"/>
            <w:vMerge w:val="continue"/>
            <w:shd w:val="clear" w:color="auto" w:fill="D0CECE" w:themeFill="background2" w:themeFillShade="E6"/>
            <w:textDirection w:val="lrTb"/>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p>
        </w:tc>
        <w:tc>
          <w:tcPr>
            <w:tcW w:w="2903" w:type="dxa"/>
            <w:vMerge w:val="continue"/>
            <w:tcBorders>
              <w:right w:val="single" w:color="auto" w:sz="12" w:space="0"/>
            </w:tcBorders>
            <w:shd w:val="clear" w:color="auto" w:fill="D0CECE" w:themeFill="background2" w:themeFillShade="E6"/>
            <w:textDirection w:val="lrTb"/>
            <w:vAlign w:val="center"/>
          </w:tcPr>
          <w:p>
            <w:pPr>
              <w:snapToGrid w:val="0"/>
              <w:spacing w:line="360" w:lineRule="auto"/>
              <w:jc w:val="center"/>
              <w:rPr>
                <w:rFonts w:hint="eastAsia" w:asciiTheme="minorEastAsia" w:hAnsiTheme="minorEastAsia" w:eastAsiaTheme="minorEastAsia" w:cstheme="minorEastAsia"/>
                <w:b/>
                <w:bCs w:val="0"/>
                <w:color w:val="auto"/>
                <w:sz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5" w:hRule="atLeast"/>
        </w:trPr>
        <w:tc>
          <w:tcPr>
            <w:tcW w:w="519" w:type="dxa"/>
            <w:tcBorders>
              <w:left w:val="single" w:color="auto" w:sz="12" w:space="0"/>
            </w:tcBorders>
            <w:shd w:val="clear" w:color="auto" w:fill="auto"/>
            <w:textDirection w:val="lrTb"/>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1</w:t>
            </w:r>
          </w:p>
        </w:tc>
        <w:tc>
          <w:tcPr>
            <w:tcW w:w="1643" w:type="dxa"/>
            <w:shd w:val="clear" w:color="auto" w:fill="auto"/>
            <w:textDirection w:val="lrTb"/>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竞选单位一</w:t>
            </w:r>
          </w:p>
        </w:tc>
        <w:tc>
          <w:tcPr>
            <w:tcW w:w="2717" w:type="dxa"/>
            <w:shd w:val="clear" w:color="auto" w:fill="auto"/>
            <w:textDirection w:val="lrTb"/>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p>
        </w:tc>
        <w:tc>
          <w:tcPr>
            <w:tcW w:w="2278" w:type="dxa"/>
            <w:vMerge w:val="restart"/>
            <w:shd w:val="clear" w:color="auto" w:fill="auto"/>
            <w:textDirection w:val="lrTb"/>
            <w:vAlign w:val="center"/>
          </w:tcPr>
          <w:p>
            <w:pPr>
              <w:snapToGrid w:val="0"/>
              <w:spacing w:line="360" w:lineRule="auto"/>
              <w:jc w:val="center"/>
              <w:rPr>
                <w:rFonts w:hint="eastAsia" w:asciiTheme="minorEastAsia" w:hAnsiTheme="minorEastAsia" w:eastAsiaTheme="minorEastAsia" w:cstheme="minorEastAsia"/>
                <w:b/>
                <w:color w:val="auto"/>
                <w:sz w:val="24"/>
                <w:highlight w:val="none"/>
              </w:rPr>
            </w:pPr>
          </w:p>
        </w:tc>
        <w:tc>
          <w:tcPr>
            <w:tcW w:w="2903" w:type="dxa"/>
            <w:tcBorders>
              <w:right w:val="single" w:color="auto" w:sz="12" w:space="0"/>
            </w:tcBorders>
            <w:shd w:val="clear" w:color="auto" w:fill="auto"/>
            <w:textDirection w:val="lrTb"/>
            <w:vAlign w:val="center"/>
          </w:tcPr>
          <w:p>
            <w:pPr>
              <w:snapToGrid w:val="0"/>
              <w:spacing w:line="360" w:lineRule="auto"/>
              <w:jc w:val="center"/>
              <w:rPr>
                <w:rFonts w:hint="eastAsia" w:asciiTheme="minorEastAsia" w:hAnsiTheme="minorEastAsia" w:eastAsiaTheme="minorEastAsia" w:cstheme="minorEastAsia"/>
                <w:b/>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95" w:hRule="atLeast"/>
        </w:trPr>
        <w:tc>
          <w:tcPr>
            <w:tcW w:w="519" w:type="dxa"/>
            <w:tcBorders>
              <w:left w:val="single" w:color="auto" w:sz="12" w:space="0"/>
            </w:tcBorders>
            <w:shd w:val="clear" w:color="auto" w:fill="auto"/>
            <w:textDirection w:val="lrTb"/>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2</w:t>
            </w:r>
          </w:p>
        </w:tc>
        <w:tc>
          <w:tcPr>
            <w:tcW w:w="1643" w:type="dxa"/>
            <w:shd w:val="clear" w:color="auto" w:fill="auto"/>
            <w:textDirection w:val="lrTb"/>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竞选单位二</w:t>
            </w:r>
          </w:p>
        </w:tc>
        <w:tc>
          <w:tcPr>
            <w:tcW w:w="2717" w:type="dxa"/>
            <w:shd w:val="clear" w:color="auto" w:fill="auto"/>
            <w:textDirection w:val="lrTb"/>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p>
        </w:tc>
        <w:tc>
          <w:tcPr>
            <w:tcW w:w="2278" w:type="dxa"/>
            <w:vMerge w:val="continue"/>
            <w:shd w:val="clear" w:color="auto" w:fill="auto"/>
            <w:textDirection w:val="lrTb"/>
            <w:vAlign w:val="center"/>
          </w:tcPr>
          <w:p>
            <w:pPr>
              <w:snapToGrid w:val="0"/>
              <w:spacing w:line="360" w:lineRule="auto"/>
              <w:jc w:val="center"/>
              <w:rPr>
                <w:rFonts w:hint="eastAsia" w:asciiTheme="minorEastAsia" w:hAnsiTheme="minorEastAsia" w:eastAsiaTheme="minorEastAsia" w:cstheme="minorEastAsia"/>
                <w:b/>
                <w:color w:val="auto"/>
                <w:sz w:val="24"/>
                <w:highlight w:val="none"/>
              </w:rPr>
            </w:pPr>
          </w:p>
        </w:tc>
        <w:tc>
          <w:tcPr>
            <w:tcW w:w="2903" w:type="dxa"/>
            <w:tcBorders>
              <w:right w:val="single" w:color="auto" w:sz="12" w:space="0"/>
            </w:tcBorders>
            <w:shd w:val="clear" w:color="auto" w:fill="auto"/>
            <w:textDirection w:val="lrTb"/>
            <w:vAlign w:val="center"/>
          </w:tcPr>
          <w:p>
            <w:pPr>
              <w:snapToGrid w:val="0"/>
              <w:spacing w:line="360" w:lineRule="auto"/>
              <w:jc w:val="center"/>
              <w:rPr>
                <w:rFonts w:hint="eastAsia" w:asciiTheme="minorEastAsia" w:hAnsiTheme="minorEastAsia" w:eastAsiaTheme="minorEastAsia" w:cstheme="minorEastAsia"/>
                <w:b/>
                <w:color w:val="auto"/>
                <w:kern w:val="0"/>
                <w:sz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29" w:hRule="atLeast"/>
        </w:trPr>
        <w:tc>
          <w:tcPr>
            <w:tcW w:w="519" w:type="dxa"/>
            <w:tcBorders>
              <w:left w:val="single" w:color="auto" w:sz="12" w:space="0"/>
            </w:tcBorders>
            <w:shd w:val="clear" w:color="auto" w:fill="auto"/>
            <w:textDirection w:val="lrTb"/>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3</w:t>
            </w:r>
          </w:p>
        </w:tc>
        <w:tc>
          <w:tcPr>
            <w:tcW w:w="1643" w:type="dxa"/>
            <w:shd w:val="clear" w:color="auto" w:fill="auto"/>
            <w:textDirection w:val="lrTb"/>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竞选单位三</w:t>
            </w:r>
          </w:p>
        </w:tc>
        <w:tc>
          <w:tcPr>
            <w:tcW w:w="2717" w:type="dxa"/>
            <w:shd w:val="clear" w:color="auto" w:fill="auto"/>
            <w:textDirection w:val="lrTb"/>
            <w:vAlign w:val="center"/>
          </w:tcPr>
          <w:p>
            <w:pPr>
              <w:snapToGrid w:val="0"/>
              <w:spacing w:line="360" w:lineRule="auto"/>
              <w:jc w:val="center"/>
              <w:rPr>
                <w:rFonts w:hint="eastAsia" w:asciiTheme="minorEastAsia" w:hAnsiTheme="minorEastAsia" w:eastAsiaTheme="minorEastAsia" w:cstheme="minorEastAsia"/>
                <w:b/>
                <w:color w:val="auto"/>
                <w:sz w:val="24"/>
                <w:highlight w:val="none"/>
                <w:lang w:val="en-US" w:eastAsia="zh-CN"/>
              </w:rPr>
            </w:pPr>
          </w:p>
        </w:tc>
        <w:tc>
          <w:tcPr>
            <w:tcW w:w="2278" w:type="dxa"/>
            <w:vMerge w:val="continue"/>
            <w:shd w:val="clear" w:color="auto" w:fill="auto"/>
            <w:textDirection w:val="lrTb"/>
            <w:vAlign w:val="center"/>
          </w:tcPr>
          <w:p>
            <w:pPr>
              <w:snapToGrid w:val="0"/>
              <w:spacing w:line="360" w:lineRule="auto"/>
              <w:jc w:val="center"/>
              <w:rPr>
                <w:rFonts w:hint="eastAsia" w:asciiTheme="minorEastAsia" w:hAnsiTheme="minorEastAsia" w:eastAsiaTheme="minorEastAsia" w:cstheme="minorEastAsia"/>
                <w:b/>
                <w:color w:val="auto"/>
                <w:sz w:val="24"/>
                <w:highlight w:val="none"/>
              </w:rPr>
            </w:pPr>
          </w:p>
        </w:tc>
        <w:tc>
          <w:tcPr>
            <w:tcW w:w="2903" w:type="dxa"/>
            <w:tcBorders>
              <w:right w:val="single" w:color="auto" w:sz="12" w:space="0"/>
            </w:tcBorders>
            <w:shd w:val="clear" w:color="auto" w:fill="auto"/>
            <w:textDirection w:val="lrTb"/>
            <w:vAlign w:val="center"/>
          </w:tcPr>
          <w:p>
            <w:pPr>
              <w:snapToGrid w:val="0"/>
              <w:spacing w:line="360" w:lineRule="auto"/>
              <w:jc w:val="center"/>
              <w:rPr>
                <w:rFonts w:hint="eastAsia" w:asciiTheme="minorEastAsia" w:hAnsiTheme="minorEastAsia" w:eastAsiaTheme="minorEastAsia" w:cstheme="minorEastAsia"/>
                <w:b/>
                <w:color w:val="auto"/>
                <w:kern w:val="0"/>
                <w:sz w:val="24"/>
                <w:highlight w:val="none"/>
              </w:rPr>
            </w:pPr>
          </w:p>
        </w:tc>
      </w:tr>
    </w:tbl>
    <w:p>
      <w:pPr>
        <w:spacing w:line="360" w:lineRule="auto"/>
        <w:ind w:left="425"/>
        <w:rPr>
          <w:rFonts w:hint="eastAsia" w:asciiTheme="minorEastAsia" w:hAnsiTheme="minorEastAsia" w:eastAsiaTheme="minorEastAsia" w:cstheme="minorEastAsia"/>
          <w:bCs/>
        </w:rPr>
      </w:pPr>
    </w:p>
    <w:p>
      <w:pPr>
        <w:spacing w:line="360" w:lineRule="auto"/>
        <w:ind w:left="425"/>
        <w:rPr>
          <w:rFonts w:asciiTheme="minorEastAsia" w:hAnsiTheme="minorEastAsia" w:eastAsiaTheme="minorEastAsia" w:cstheme="minorEastAsia"/>
          <w:bCs/>
        </w:rPr>
      </w:pPr>
      <w:r>
        <w:rPr>
          <w:rFonts w:hint="eastAsia" w:asciiTheme="minorEastAsia" w:hAnsiTheme="minorEastAsia" w:eastAsiaTheme="minorEastAsia" w:cstheme="minorEastAsia"/>
          <w:bCs/>
        </w:rPr>
        <w:t>综合评分法中的价格分统一采用低价优先法计算，即满足竞选文件要求（通过资格性、符合性审查）且竞选价格最低的有效竞选报价（指价格核准后的价格，下同）为基准价，其价格分为满分，其他有效竞选报价为评审价。其他竞选人的价格分统一按照下列公式计算：</w:t>
      </w:r>
    </w:p>
    <w:p>
      <w:pPr>
        <w:spacing w:line="360" w:lineRule="auto"/>
        <w:ind w:firstLine="413" w:firstLineChars="196"/>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价格评分=(基准价÷评审价)×35</w:t>
      </w:r>
    </w:p>
    <w:p>
      <w:pPr>
        <w:pStyle w:val="2"/>
      </w:pPr>
    </w:p>
    <w:p>
      <w:pPr>
        <w:ind w:firstLine="420"/>
        <w:rPr>
          <w:rFonts w:asciiTheme="minorEastAsia" w:hAnsiTheme="minorEastAsia" w:eastAsiaTheme="minorEastAsia" w:cstheme="minorEastAsia"/>
          <w:bCs/>
        </w:rPr>
      </w:pPr>
      <w:r>
        <w:rPr>
          <w:rFonts w:hint="eastAsia" w:asciiTheme="minorEastAsia" w:hAnsiTheme="minorEastAsia" w:eastAsiaTheme="minorEastAsia" w:cstheme="minorEastAsia"/>
          <w:bCs/>
        </w:rPr>
        <w:t>备注：价格评分四舍五入后，</w:t>
      </w:r>
      <w:r>
        <w:rPr>
          <w:rFonts w:hint="eastAsia" w:asciiTheme="minorEastAsia" w:hAnsiTheme="minorEastAsia" w:eastAsiaTheme="minorEastAsia" w:cstheme="minorEastAsia"/>
          <w:szCs w:val="20"/>
        </w:rPr>
        <w:t>小数点后保留两位有效数。</w:t>
      </w:r>
    </w:p>
    <w:p>
      <w:pPr>
        <w:ind w:firstLine="420"/>
        <w:rPr>
          <w:rFonts w:asciiTheme="minorEastAsia" w:hAnsiTheme="minorEastAsia" w:eastAsiaTheme="minorEastAsia" w:cstheme="minorEastAsia"/>
          <w:bCs/>
        </w:rPr>
      </w:pPr>
    </w:p>
    <w:p>
      <w:pPr>
        <w:ind w:firstLine="420"/>
        <w:rPr>
          <w:rFonts w:asciiTheme="minorEastAsia" w:hAnsiTheme="minorEastAsia" w:eastAsiaTheme="minorEastAsia" w:cstheme="minorEastAsia"/>
          <w:b/>
          <w:sz w:val="28"/>
          <w:szCs w:val="36"/>
          <w:highlight w:val="cyan"/>
        </w:rPr>
      </w:pPr>
    </w:p>
    <w:p>
      <w:pPr>
        <w:widowControl/>
        <w:jc w:val="left"/>
        <w:rPr>
          <w:rFonts w:asciiTheme="minorEastAsia" w:hAnsiTheme="minorEastAsia" w:eastAsiaTheme="minorEastAsia" w:cstheme="minorEastAsia"/>
          <w:bCs/>
          <w:spacing w:val="20"/>
          <w:kern w:val="44"/>
          <w:szCs w:val="21"/>
        </w:rPr>
      </w:pPr>
      <w:r>
        <w:rPr>
          <w:rFonts w:hint="eastAsia" w:asciiTheme="minorEastAsia" w:hAnsiTheme="minorEastAsia" w:eastAsiaTheme="minorEastAsia" w:cstheme="minorEastAsia"/>
          <w:b/>
          <w:spacing w:val="20"/>
          <w:szCs w:val="21"/>
        </w:rPr>
        <w:br w:type="page"/>
      </w:r>
    </w:p>
    <w:p>
      <w:pPr>
        <w:numPr>
          <w:ilvl w:val="0"/>
          <w:numId w:val="2"/>
        </w:num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bookmarkStart w:id="342" w:name="_Toc20544"/>
      <w:bookmarkStart w:id="343" w:name="_Toc2341913"/>
      <w:bookmarkStart w:id="344" w:name="_Toc31259"/>
      <w:bookmarkStart w:id="345" w:name="_Toc2341751"/>
      <w:bookmarkStart w:id="346" w:name="_Toc2341344"/>
      <w:bookmarkStart w:id="347" w:name="_Toc7078_WPSOffice_Level1"/>
      <w:bookmarkStart w:id="348" w:name="_Toc12518"/>
      <w:bookmarkStart w:id="349" w:name="_Toc26099"/>
      <w:bookmarkStart w:id="350" w:name="_Toc2341664"/>
      <w:r>
        <w:rPr>
          <w:rFonts w:hint="eastAsia" w:asciiTheme="minorEastAsia" w:hAnsiTheme="minorEastAsia" w:eastAsiaTheme="minorEastAsia" w:cstheme="minorEastAsia"/>
          <w:b/>
          <w:bCs/>
          <w:sz w:val="28"/>
          <w:szCs w:val="28"/>
        </w:rPr>
        <w:t>响应文件格式</w:t>
      </w:r>
      <w:bookmarkEnd w:id="327"/>
      <w:bookmarkEnd w:id="328"/>
      <w:bookmarkEnd w:id="329"/>
      <w:bookmarkEnd w:id="330"/>
      <w:bookmarkEnd w:id="331"/>
      <w:bookmarkEnd w:id="342"/>
      <w:bookmarkEnd w:id="343"/>
      <w:bookmarkEnd w:id="344"/>
      <w:bookmarkEnd w:id="345"/>
      <w:bookmarkEnd w:id="346"/>
      <w:bookmarkEnd w:id="347"/>
      <w:bookmarkEnd w:id="348"/>
      <w:bookmarkEnd w:id="349"/>
      <w:bookmarkEnd w:id="350"/>
      <w:bookmarkStart w:id="351" w:name="_Toc130139098"/>
    </w:p>
    <w:p>
      <w:pPr>
        <w:pStyle w:val="5"/>
        <w:numPr>
          <w:ilvl w:val="1"/>
          <w:numId w:val="0"/>
        </w:numPr>
        <w:spacing w:line="440" w:lineRule="exact"/>
        <w:jc w:val="center"/>
        <w:rPr>
          <w:sz w:val="28"/>
          <w:szCs w:val="22"/>
        </w:rPr>
      </w:pPr>
      <w:bookmarkStart w:id="352" w:name="_Toc318"/>
      <w:bookmarkStart w:id="353" w:name="_Toc16008"/>
      <w:bookmarkStart w:id="354" w:name="_Toc3863"/>
      <w:bookmarkStart w:id="355" w:name="_Toc5618"/>
      <w:bookmarkStart w:id="356" w:name="_Toc11208_WPSOffice_Level1"/>
      <w:bookmarkStart w:id="357" w:name="_Toc15192"/>
      <w:r>
        <w:rPr>
          <w:rFonts w:hint="eastAsia"/>
          <w:sz w:val="28"/>
          <w:szCs w:val="22"/>
        </w:rPr>
        <w:t>响应文件包装封面参考</w:t>
      </w:r>
      <w:bookmarkEnd w:id="352"/>
      <w:bookmarkEnd w:id="353"/>
      <w:bookmarkEnd w:id="354"/>
      <w:bookmarkEnd w:id="355"/>
      <w:bookmarkEnd w:id="356"/>
      <w:bookmarkEnd w:id="357"/>
    </w:p>
    <w:tbl>
      <w:tblPr>
        <w:tblStyle w:val="21"/>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727" w:hRule="atLeast"/>
        </w:trPr>
        <w:tc>
          <w:tcPr>
            <w:tcW w:w="9657" w:type="dxa"/>
          </w:tcPr>
          <w:p>
            <w:pPr>
              <w:pStyle w:val="3"/>
              <w:spacing w:line="360" w:lineRule="auto"/>
              <w:ind w:firstLine="480" w:firstLineChars="150"/>
              <w:rPr>
                <w:rFonts w:ascii="仿宋_GB2312" w:eastAsia="仿宋_GB2312"/>
                <w:b/>
                <w:sz w:val="32"/>
              </w:rPr>
            </w:pPr>
          </w:p>
          <w:p>
            <w:pPr>
              <w:pStyle w:val="3"/>
              <w:spacing w:line="360" w:lineRule="auto"/>
              <w:rPr>
                <w:rFonts w:ascii="仿宋_GB2312" w:eastAsia="仿宋_GB2312"/>
                <w:b/>
                <w:sz w:val="32"/>
              </w:rPr>
            </w:pPr>
          </w:p>
          <w:p>
            <w:pPr>
              <w:pStyle w:val="3"/>
              <w:spacing w:line="360" w:lineRule="auto"/>
              <w:jc w:val="center"/>
              <w:rPr>
                <w:rFonts w:ascii="黑体" w:eastAsia="黑体"/>
                <w:b/>
                <w:sz w:val="72"/>
                <w:szCs w:val="72"/>
              </w:rPr>
            </w:pPr>
            <w:r>
              <w:rPr>
                <w:rFonts w:hint="eastAsia" w:ascii="黑体" w:eastAsia="黑体"/>
                <w:b/>
                <w:sz w:val="72"/>
                <w:szCs w:val="72"/>
              </w:rPr>
              <w:t>响 应 文 件</w:t>
            </w:r>
          </w:p>
          <w:p>
            <w:pPr>
              <w:pStyle w:val="3"/>
              <w:spacing w:line="360" w:lineRule="auto"/>
              <w:ind w:firstLine="3654" w:firstLineChars="700"/>
              <w:rPr>
                <w:rFonts w:ascii="黑体" w:eastAsia="黑体"/>
                <w:b/>
                <w:sz w:val="52"/>
                <w:szCs w:val="52"/>
              </w:rPr>
            </w:pPr>
          </w:p>
          <w:p>
            <w:pPr>
              <w:pStyle w:val="3"/>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3"/>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3"/>
              <w:spacing w:line="360" w:lineRule="auto"/>
              <w:rPr>
                <w:rFonts w:ascii="仿宋_GB2312" w:eastAsia="仿宋_GB2312"/>
                <w:b/>
                <w:sz w:val="32"/>
              </w:rPr>
            </w:pPr>
          </w:p>
          <w:p>
            <w:pPr>
              <w:pStyle w:val="3"/>
              <w:spacing w:line="360" w:lineRule="auto"/>
              <w:rPr>
                <w:rFonts w:ascii="仿宋_GB2312" w:eastAsia="仿宋_GB2312"/>
                <w:b/>
                <w:sz w:val="32"/>
              </w:rPr>
            </w:pPr>
          </w:p>
          <w:p>
            <w:pPr>
              <w:pStyle w:val="3"/>
              <w:spacing w:line="360" w:lineRule="auto"/>
              <w:rPr>
                <w:rFonts w:ascii="仿宋_GB2312" w:eastAsia="仿宋_GB2312"/>
                <w:b/>
                <w:sz w:val="32"/>
              </w:rPr>
            </w:pPr>
          </w:p>
          <w:p>
            <w:pPr>
              <w:pStyle w:val="3"/>
              <w:spacing w:line="360" w:lineRule="auto"/>
              <w:rPr>
                <w:rFonts w:ascii="仿宋_GB2312" w:eastAsia="仿宋_GB2312"/>
                <w:b/>
                <w:sz w:val="32"/>
              </w:rPr>
            </w:pPr>
          </w:p>
          <w:p>
            <w:pPr>
              <w:pStyle w:val="3"/>
              <w:spacing w:line="360" w:lineRule="auto"/>
              <w:rPr>
                <w:rFonts w:ascii="仿宋_GB2312" w:eastAsia="仿宋_GB2312"/>
                <w:b/>
                <w:sz w:val="32"/>
              </w:rPr>
            </w:pPr>
          </w:p>
          <w:p>
            <w:pPr>
              <w:pStyle w:val="3"/>
              <w:spacing w:line="360" w:lineRule="auto"/>
              <w:rPr>
                <w:rFonts w:ascii="仿宋_GB2312" w:eastAsia="仿宋_GB2312"/>
                <w:b/>
                <w:sz w:val="32"/>
              </w:rPr>
            </w:pPr>
          </w:p>
          <w:p>
            <w:pPr>
              <w:pStyle w:val="3"/>
              <w:spacing w:line="400" w:lineRule="exact"/>
              <w:ind w:firstLine="896" w:firstLineChars="320"/>
              <w:rPr>
                <w:rFonts w:ascii="仿宋_GB2312" w:eastAsia="仿宋_GB2312"/>
                <w:b/>
                <w:sz w:val="28"/>
                <w:szCs w:val="28"/>
              </w:rPr>
            </w:pPr>
          </w:p>
          <w:p>
            <w:pPr>
              <w:pStyle w:val="3"/>
              <w:spacing w:line="400" w:lineRule="exact"/>
              <w:ind w:left="2275" w:leftChars="427" w:hanging="1378" w:hangingChars="492"/>
              <w:rPr>
                <w:rFonts w:ascii="仿宋_GB2312" w:eastAsia="仿宋_GB2312"/>
                <w:b/>
                <w:sz w:val="28"/>
                <w:szCs w:val="28"/>
              </w:rPr>
            </w:pPr>
            <w:r>
              <w:rPr>
                <w:rFonts w:hint="eastAsia" w:ascii="仿宋_GB2312" w:eastAsia="仿宋_GB2312"/>
                <w:b/>
                <w:sz w:val="28"/>
                <w:szCs w:val="28"/>
              </w:rPr>
              <w:t>项目名称：</w:t>
            </w:r>
            <w:r>
              <w:rPr>
                <w:rFonts w:hint="eastAsia" w:ascii="仿宋_GB2312" w:eastAsia="仿宋_GB2312"/>
                <w:b/>
                <w:sz w:val="28"/>
                <w:szCs w:val="28"/>
                <w:lang w:val="en-US" w:eastAsia="zh-CN"/>
              </w:rPr>
              <w:t>广检集团广科院辐射检测仪器购置项目</w:t>
            </w:r>
          </w:p>
          <w:p>
            <w:pPr>
              <w:pStyle w:val="3"/>
              <w:spacing w:line="400" w:lineRule="exact"/>
              <w:ind w:firstLine="896" w:firstLineChars="320"/>
              <w:rPr>
                <w:rFonts w:ascii="仿宋_GB2312" w:eastAsia="仿宋_GB2312"/>
                <w:b/>
                <w:sz w:val="28"/>
                <w:szCs w:val="28"/>
              </w:rPr>
            </w:pPr>
            <w:r>
              <w:rPr>
                <w:rFonts w:hint="eastAsia" w:ascii="仿宋_GB2312" w:eastAsia="仿宋_GB2312"/>
                <w:b/>
                <w:sz w:val="28"/>
                <w:szCs w:val="28"/>
              </w:rPr>
              <w:t>竞选人名称：</w:t>
            </w:r>
          </w:p>
          <w:p>
            <w:pPr>
              <w:pStyle w:val="3"/>
              <w:spacing w:line="400" w:lineRule="exact"/>
              <w:ind w:firstLine="896" w:firstLineChars="320"/>
              <w:rPr>
                <w:rFonts w:ascii="仿宋_GB2312" w:eastAsia="仿宋_GB2312"/>
                <w:b/>
                <w:sz w:val="28"/>
                <w:szCs w:val="28"/>
              </w:rPr>
            </w:pPr>
            <w:r>
              <w:rPr>
                <w:rFonts w:hint="eastAsia" w:ascii="仿宋_GB2312" w:eastAsia="仿宋_GB2312"/>
                <w:b/>
                <w:sz w:val="28"/>
                <w:szCs w:val="28"/>
              </w:rPr>
              <w:t xml:space="preserve">竞选人地址：            </w:t>
            </w:r>
          </w:p>
          <w:p>
            <w:pPr>
              <w:tabs>
                <w:tab w:val="left" w:pos="851"/>
              </w:tabs>
              <w:autoSpaceDE w:val="0"/>
              <w:autoSpaceDN w:val="0"/>
              <w:adjustRightInd w:val="0"/>
              <w:snapToGrid w:val="0"/>
              <w:spacing w:line="420" w:lineRule="auto"/>
              <w:rPr>
                <w:rFonts w:ascii="仿宋_GB2312" w:eastAsia="仿宋_GB2312"/>
                <w:b/>
                <w:sz w:val="32"/>
              </w:rPr>
            </w:pPr>
            <w:r>
              <w:rPr>
                <w:rFonts w:ascii="仿宋_GB2312" w:eastAsia="仿宋_GB2312"/>
                <w:b/>
                <w:sz w:val="28"/>
                <w:szCs w:val="28"/>
              </w:rPr>
              <w:t xml:space="preserve"> </w:t>
            </w:r>
            <w:r>
              <w:rPr>
                <w:rFonts w:hint="eastAsia" w:ascii="仿宋_GB2312" w:eastAsia="仿宋_GB2312"/>
                <w:b/>
                <w:sz w:val="28"/>
                <w:szCs w:val="28"/>
              </w:rPr>
              <w:t xml:space="preserve">     </w:t>
            </w:r>
            <w:r>
              <w:rPr>
                <w:rFonts w:ascii="仿宋_GB2312" w:eastAsia="仿宋_GB2312"/>
                <w:b/>
                <w:sz w:val="28"/>
                <w:szCs w:val="28"/>
              </w:rPr>
              <w:t>(</w:t>
            </w:r>
            <w:r>
              <w:rPr>
                <w:rFonts w:ascii="仿宋_GB2312" w:eastAsia="仿宋_GB2312"/>
                <w:b/>
                <w:sz w:val="28"/>
                <w:szCs w:val="28"/>
                <w:u w:val="single"/>
              </w:rPr>
              <w:t xml:space="preserve">    </w:t>
            </w:r>
            <w:r>
              <w:rPr>
                <w:rFonts w:hint="eastAsia" w:ascii="仿宋_GB2312" w:eastAsia="仿宋_GB2312"/>
                <w:b/>
                <w:sz w:val="28"/>
                <w:szCs w:val="28"/>
              </w:rPr>
              <w:t>年</w:t>
            </w:r>
            <w:r>
              <w:rPr>
                <w:rFonts w:ascii="仿宋_GB2312" w:eastAsia="仿宋_GB2312"/>
                <w:b/>
                <w:sz w:val="28"/>
                <w:szCs w:val="28"/>
                <w:u w:val="single"/>
              </w:rPr>
              <w:t xml:space="preserve">    </w:t>
            </w:r>
            <w:r>
              <w:rPr>
                <w:rFonts w:hint="eastAsia" w:ascii="仿宋_GB2312" w:eastAsia="仿宋_GB2312"/>
                <w:b/>
                <w:sz w:val="28"/>
                <w:szCs w:val="28"/>
              </w:rPr>
              <w:t>月</w:t>
            </w:r>
            <w:r>
              <w:rPr>
                <w:rFonts w:ascii="仿宋_GB2312" w:eastAsia="仿宋_GB2312"/>
                <w:b/>
                <w:sz w:val="28"/>
                <w:szCs w:val="28"/>
                <w:u w:val="single"/>
              </w:rPr>
              <w:t xml:space="preserve">    </w:t>
            </w:r>
            <w:r>
              <w:rPr>
                <w:rFonts w:hint="eastAsia" w:ascii="仿宋_GB2312" w:eastAsia="仿宋_GB2312"/>
                <w:b/>
                <w:sz w:val="28"/>
                <w:szCs w:val="28"/>
              </w:rPr>
              <w:t>日</w:t>
            </w:r>
            <w:r>
              <w:rPr>
                <w:rFonts w:ascii="仿宋_GB2312" w:eastAsia="仿宋_GB2312"/>
                <w:b/>
                <w:sz w:val="28"/>
                <w:szCs w:val="28"/>
                <w:u w:val="single"/>
              </w:rPr>
              <w:t xml:space="preserve">    </w:t>
            </w:r>
            <w:r>
              <w:rPr>
                <w:rFonts w:hint="eastAsia" w:ascii="仿宋_GB2312" w:eastAsia="仿宋_GB2312"/>
                <w:b/>
                <w:sz w:val="28"/>
                <w:szCs w:val="28"/>
              </w:rPr>
              <w:t>时</w:t>
            </w:r>
            <w:r>
              <w:rPr>
                <w:rFonts w:ascii="仿宋_GB2312" w:eastAsia="仿宋_GB2312"/>
                <w:b/>
                <w:sz w:val="28"/>
                <w:szCs w:val="28"/>
                <w:u w:val="single"/>
              </w:rPr>
              <w:t xml:space="preserve">    </w:t>
            </w:r>
            <w:r>
              <w:rPr>
                <w:rFonts w:hint="eastAsia" w:ascii="仿宋_GB2312" w:eastAsia="仿宋_GB2312"/>
                <w:b/>
                <w:sz w:val="28"/>
                <w:szCs w:val="28"/>
              </w:rPr>
              <w:t>分</w:t>
            </w:r>
            <w:r>
              <w:rPr>
                <w:rFonts w:ascii="仿宋_GB2312" w:eastAsia="仿宋_GB2312"/>
                <w:b/>
                <w:sz w:val="28"/>
                <w:szCs w:val="28"/>
              </w:rPr>
              <w:t>)</w:t>
            </w:r>
            <w:r>
              <w:rPr>
                <w:rFonts w:hint="eastAsia" w:ascii="仿宋_GB2312" w:eastAsia="仿宋_GB2312"/>
                <w:b/>
                <w:sz w:val="28"/>
                <w:szCs w:val="28"/>
              </w:rPr>
              <w:t>之前不得启封</w:t>
            </w:r>
          </w:p>
        </w:tc>
      </w:tr>
    </w:tbl>
    <w:p>
      <w:pPr>
        <w:adjustRightInd w:val="0"/>
        <w:snapToGrid w:val="0"/>
        <w:spacing w:beforeLines="50" w:afterLines="50" w:line="360" w:lineRule="auto"/>
        <w:jc w:val="center"/>
        <w:outlineLvl w:val="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br w:type="page"/>
      </w:r>
    </w:p>
    <w:p>
      <w:pPr>
        <w:pStyle w:val="5"/>
        <w:numPr>
          <w:ilvl w:val="1"/>
          <w:numId w:val="0"/>
        </w:numPr>
        <w:spacing w:line="440" w:lineRule="exact"/>
        <w:jc w:val="center"/>
        <w:rPr>
          <w:sz w:val="28"/>
          <w:szCs w:val="22"/>
        </w:rPr>
      </w:pPr>
      <w:bookmarkStart w:id="358" w:name="_Toc2939"/>
      <w:bookmarkStart w:id="359" w:name="_Toc32531"/>
      <w:bookmarkStart w:id="360" w:name="_Toc26042"/>
      <w:bookmarkStart w:id="361" w:name="_Toc22540"/>
      <w:bookmarkStart w:id="362" w:name="_Toc3450"/>
      <w:bookmarkStart w:id="363" w:name="_Toc18533_WPSOffice_Level1"/>
      <w:r>
        <w:rPr>
          <w:rFonts w:hint="eastAsia"/>
          <w:sz w:val="28"/>
          <w:szCs w:val="22"/>
        </w:rPr>
        <w:t>响应报价文件目录表</w:t>
      </w:r>
      <w:bookmarkEnd w:id="358"/>
      <w:bookmarkEnd w:id="359"/>
      <w:bookmarkEnd w:id="360"/>
      <w:bookmarkEnd w:id="361"/>
      <w:bookmarkEnd w:id="362"/>
      <w:bookmarkEnd w:id="363"/>
    </w:p>
    <w:tbl>
      <w:tblPr>
        <w:tblStyle w:val="21"/>
        <w:tblW w:w="9228" w:type="dxa"/>
        <w:tblInd w:w="96" w:type="dxa"/>
        <w:tblLayout w:type="fixed"/>
        <w:tblCellMar>
          <w:top w:w="0" w:type="dxa"/>
          <w:left w:w="108" w:type="dxa"/>
          <w:bottom w:w="0" w:type="dxa"/>
          <w:right w:w="108" w:type="dxa"/>
        </w:tblCellMar>
      </w:tblPr>
      <w:tblGrid>
        <w:gridCol w:w="723"/>
        <w:gridCol w:w="6237"/>
        <w:gridCol w:w="851"/>
        <w:gridCol w:w="850"/>
        <w:gridCol w:w="567"/>
      </w:tblGrid>
      <w:tr>
        <w:tblPrEx>
          <w:tblLayout w:type="fixed"/>
          <w:tblCellMar>
            <w:top w:w="0" w:type="dxa"/>
            <w:left w:w="108" w:type="dxa"/>
            <w:bottom w:w="0" w:type="dxa"/>
            <w:right w:w="108" w:type="dxa"/>
          </w:tblCellMar>
        </w:tblPrEx>
        <w:trPr>
          <w:trHeight w:val="510" w:hRule="atLeast"/>
        </w:trPr>
        <w:tc>
          <w:tcPr>
            <w:tcW w:w="723" w:type="dxa"/>
            <w:tcBorders>
              <w:top w:val="single" w:color="auto" w:sz="12" w:space="0"/>
              <w:left w:val="single" w:color="auto" w:sz="12" w:space="0"/>
              <w:bottom w:val="single" w:color="auto" w:sz="4" w:space="0"/>
              <w:right w:val="single" w:color="auto" w:sz="4" w:space="0"/>
            </w:tcBorders>
            <w:shd w:val="clear" w:color="auto" w:fill="D0CECE" w:themeFill="background2" w:themeFillShade="E6"/>
            <w:vAlign w:val="center"/>
          </w:tcPr>
          <w:p>
            <w:pPr>
              <w:widowControl/>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6237" w:type="dxa"/>
            <w:tcBorders>
              <w:top w:val="single" w:color="auto" w:sz="12" w:space="0"/>
              <w:left w:val="nil"/>
              <w:bottom w:val="single" w:color="auto" w:sz="4" w:space="0"/>
              <w:right w:val="single" w:color="auto" w:sz="4" w:space="0"/>
            </w:tcBorders>
            <w:shd w:val="clear" w:color="auto" w:fill="D0CECE" w:themeFill="background2" w:themeFillShade="E6"/>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内      容</w:t>
            </w:r>
          </w:p>
        </w:tc>
        <w:tc>
          <w:tcPr>
            <w:tcW w:w="851" w:type="dxa"/>
            <w:tcBorders>
              <w:top w:val="single" w:color="auto" w:sz="12" w:space="0"/>
              <w:left w:val="nil"/>
              <w:bottom w:val="single" w:color="auto" w:sz="4" w:space="0"/>
              <w:right w:val="single" w:color="auto" w:sz="4" w:space="0"/>
            </w:tcBorders>
            <w:shd w:val="clear" w:color="auto" w:fill="D0CECE" w:themeFill="background2" w:themeFillShade="E6"/>
            <w:vAlign w:val="bottom"/>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是否提交</w:t>
            </w:r>
          </w:p>
        </w:tc>
        <w:tc>
          <w:tcPr>
            <w:tcW w:w="850" w:type="dxa"/>
            <w:tcBorders>
              <w:top w:val="single" w:color="auto" w:sz="12" w:space="0"/>
              <w:left w:val="nil"/>
              <w:bottom w:val="single" w:color="auto" w:sz="4" w:space="0"/>
              <w:right w:val="single" w:color="auto" w:sz="4" w:space="0"/>
            </w:tcBorders>
            <w:shd w:val="clear" w:color="auto" w:fill="D0CECE" w:themeFill="background2" w:themeFillShade="E6"/>
            <w:vAlign w:val="bottom"/>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页码范围</w:t>
            </w:r>
          </w:p>
        </w:tc>
        <w:tc>
          <w:tcPr>
            <w:tcW w:w="567" w:type="dxa"/>
            <w:tcBorders>
              <w:top w:val="single" w:color="auto" w:sz="12" w:space="0"/>
              <w:left w:val="nil"/>
              <w:bottom w:val="single" w:color="auto" w:sz="4" w:space="0"/>
              <w:right w:val="single" w:color="auto" w:sz="12" w:space="0"/>
            </w:tcBorders>
            <w:shd w:val="clear" w:color="auto" w:fill="D0CECE" w:themeFill="background2" w:themeFillShade="E6"/>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tblPrEx>
          <w:tblLayout w:type="fixed"/>
          <w:tblCellMar>
            <w:top w:w="0" w:type="dxa"/>
            <w:left w:w="108" w:type="dxa"/>
            <w:bottom w:w="0" w:type="dxa"/>
            <w:right w:w="108" w:type="dxa"/>
          </w:tblCellMar>
        </w:tblPrEx>
        <w:trPr>
          <w:trHeight w:val="408" w:hRule="atLeast"/>
        </w:trPr>
        <w:tc>
          <w:tcPr>
            <w:tcW w:w="9228" w:type="dxa"/>
            <w:gridSpan w:val="5"/>
            <w:tcBorders>
              <w:top w:val="single" w:color="auto" w:sz="4" w:space="0"/>
              <w:left w:val="single" w:color="auto" w:sz="12" w:space="0"/>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一、响应报价文件</w:t>
            </w: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6237"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Cs/>
                <w:szCs w:val="21"/>
              </w:rPr>
              <w:sym w:font="Wingdings" w:char="F076"/>
            </w:r>
            <w:r>
              <w:rPr>
                <w:rFonts w:hint="eastAsia" w:asciiTheme="minorEastAsia" w:hAnsiTheme="minorEastAsia" w:eastAsiaTheme="minorEastAsia" w:cstheme="minorEastAsia"/>
                <w:kern w:val="0"/>
                <w:szCs w:val="21"/>
              </w:rPr>
              <w:t>响应函（格式1）</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p>
        </w:tc>
      </w:tr>
      <w:tr>
        <w:tblPrEx>
          <w:tblLayout w:type="fixed"/>
          <w:tblCellMar>
            <w:top w:w="0" w:type="dxa"/>
            <w:left w:w="108" w:type="dxa"/>
            <w:bottom w:w="0" w:type="dxa"/>
            <w:right w:w="108" w:type="dxa"/>
          </w:tblCellMar>
        </w:tblPrEx>
        <w:trPr>
          <w:trHeight w:val="408" w:hRule="atLeast"/>
        </w:trPr>
        <w:tc>
          <w:tcPr>
            <w:tcW w:w="9228" w:type="dxa"/>
            <w:gridSpan w:val="5"/>
            <w:tcBorders>
              <w:top w:val="single" w:color="auto" w:sz="4" w:space="0"/>
              <w:left w:val="single" w:color="auto" w:sz="12" w:space="0"/>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二、资格性、符合性审查文件</w:t>
            </w: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6237"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szCs w:val="21"/>
              </w:rPr>
              <w:sym w:font="Wingdings" w:char="F076"/>
            </w:r>
            <w:r>
              <w:rPr>
                <w:rFonts w:hint="eastAsia" w:asciiTheme="minorEastAsia" w:hAnsiTheme="minorEastAsia" w:eastAsiaTheme="minorEastAsia" w:cstheme="minorEastAsia"/>
                <w:kern w:val="0"/>
                <w:szCs w:val="21"/>
              </w:rPr>
              <w:t>法定代表人证明及授权书(格式2)</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6237"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szCs w:val="21"/>
              </w:rPr>
              <w:sym w:font="Wingdings" w:char="F076"/>
            </w:r>
            <w:r>
              <w:rPr>
                <w:rFonts w:hint="eastAsia" w:asciiTheme="minorEastAsia" w:hAnsiTheme="minorEastAsia" w:eastAsiaTheme="minorEastAsia" w:cstheme="minorEastAsia"/>
                <w:kern w:val="0"/>
                <w:szCs w:val="21"/>
              </w:rPr>
              <w:t>响应人营业执照或事业法人证书副本复印件（经年检合格），组织机构代码证，国、地税务登记证副本复印件（多证合一时只需提供1项）</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6237"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szCs w:val="21"/>
              </w:rPr>
              <w:sym w:font="Wingdings" w:char="F076"/>
            </w:r>
            <w:r>
              <w:rPr>
                <w:rFonts w:hint="eastAsia" w:asciiTheme="minorEastAsia" w:hAnsiTheme="minorEastAsia" w:eastAsiaTheme="minorEastAsia" w:cstheme="minorEastAsia"/>
                <w:bCs/>
                <w:szCs w:val="21"/>
              </w:rPr>
              <w:t>响应截至前六个月内任意一个月缴纳税收的凭据证明材料复印件（依法免税的，应提供相应文件证明其依法免税</w:t>
            </w:r>
            <w:r>
              <w:rPr>
                <w:rFonts w:hint="eastAsia" w:asciiTheme="minorEastAsia" w:hAnsiTheme="minorEastAsia" w:eastAsiaTheme="minorEastAsia" w:cstheme="minorEastAsia"/>
                <w:bCs/>
                <w:szCs w:val="21"/>
                <w:lang w:eastAsia="zh-CN"/>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6237"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szCs w:val="21"/>
              </w:rPr>
              <w:sym w:font="Wingdings" w:char="F076"/>
            </w:r>
            <w:r>
              <w:rPr>
                <w:rFonts w:hint="eastAsia" w:asciiTheme="minorEastAsia" w:hAnsiTheme="minorEastAsia" w:eastAsiaTheme="minorEastAsia" w:cstheme="minorEastAsia"/>
                <w:bCs/>
                <w:szCs w:val="21"/>
                <w:lang w:val="en-US" w:eastAsia="zh-CN"/>
              </w:rPr>
              <w:t>参加竞选活动前3年内无重大违法记录声明函</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6237"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szCs w:val="21"/>
              </w:rPr>
              <w:sym w:font="Wingdings" w:char="F076"/>
            </w:r>
            <w:r>
              <w:rPr>
                <w:rFonts w:hint="eastAsia" w:asciiTheme="minorEastAsia" w:hAnsiTheme="minorEastAsia" w:eastAsiaTheme="minorEastAsia" w:cstheme="minorEastAsia"/>
                <w:bCs/>
                <w:szCs w:val="21"/>
              </w:rPr>
              <w:t>实质性</w:t>
            </w:r>
            <w:r>
              <w:rPr>
                <w:rFonts w:hint="eastAsia" w:asciiTheme="minorEastAsia" w:hAnsiTheme="minorEastAsia" w:eastAsiaTheme="minorEastAsia" w:cstheme="minorEastAsia"/>
                <w:szCs w:val="21"/>
              </w:rPr>
              <w:t>条款（</w:t>
            </w:r>
            <w:r>
              <w:rPr>
                <w:rFonts w:hint="eastAsia"/>
                <w:bCs/>
              </w:rPr>
              <w:t>带</w:t>
            </w:r>
            <w:r>
              <w:rPr>
                <w:rFonts w:ascii="宋体" w:hAnsi="宋体"/>
                <w:bCs/>
                <w:szCs w:val="21"/>
              </w:rPr>
              <w:t>★</w:t>
            </w:r>
            <w:r>
              <w:rPr>
                <w:rFonts w:hint="eastAsia" w:ascii="宋体" w:hAnsi="宋体"/>
                <w:bCs/>
                <w:szCs w:val="21"/>
              </w:rPr>
              <w:t>条款）</w:t>
            </w:r>
            <w:r>
              <w:rPr>
                <w:rFonts w:hint="eastAsia" w:asciiTheme="minorEastAsia" w:hAnsiTheme="minorEastAsia" w:eastAsiaTheme="minorEastAsia" w:cstheme="minorEastAsia"/>
                <w:szCs w:val="21"/>
              </w:rPr>
              <w:t>响应一览表(格式</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p>
        </w:tc>
      </w:tr>
      <w:tr>
        <w:tblPrEx>
          <w:tblLayout w:type="fixed"/>
          <w:tblCellMar>
            <w:top w:w="0" w:type="dxa"/>
            <w:left w:w="108" w:type="dxa"/>
            <w:bottom w:w="0" w:type="dxa"/>
            <w:right w:w="108" w:type="dxa"/>
          </w:tblCellMar>
        </w:tblPrEx>
        <w:trPr>
          <w:trHeight w:val="408" w:hRule="atLeast"/>
        </w:trPr>
        <w:tc>
          <w:tcPr>
            <w:tcW w:w="9228" w:type="dxa"/>
            <w:gridSpan w:val="5"/>
            <w:tcBorders>
              <w:top w:val="single" w:color="auto" w:sz="4" w:space="0"/>
              <w:left w:val="single" w:color="auto" w:sz="12" w:space="0"/>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三、技术文件目录表</w:t>
            </w: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6237"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Cs/>
                <w:szCs w:val="21"/>
              </w:rPr>
              <w:sym w:font="Wingdings" w:char="F076"/>
            </w:r>
            <w:r>
              <w:rPr>
                <w:rFonts w:hint="eastAsia" w:asciiTheme="minorEastAsia" w:hAnsiTheme="minorEastAsia" w:eastAsiaTheme="minorEastAsia" w:cstheme="minorEastAsia"/>
                <w:kern w:val="0"/>
                <w:szCs w:val="21"/>
                <w:lang w:val="en-US" w:eastAsia="zh-CN"/>
              </w:rPr>
              <w:t>竞选货物的详细情况</w:t>
            </w:r>
            <w:r>
              <w:rPr>
                <w:rFonts w:hint="eastAsia" w:asciiTheme="minorEastAsia" w:hAnsiTheme="minorEastAsia" w:eastAsiaTheme="minorEastAsia" w:cstheme="minorEastAsia"/>
                <w:kern w:val="0"/>
                <w:szCs w:val="21"/>
              </w:rPr>
              <w:t>（格式</w:t>
            </w: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6237" w:type="dxa"/>
            <w:tcBorders>
              <w:top w:val="single" w:color="auto" w:sz="4" w:space="0"/>
              <w:left w:val="nil"/>
              <w:bottom w:val="single" w:color="auto" w:sz="4" w:space="0"/>
              <w:right w:val="single" w:color="auto" w:sz="4" w:space="0"/>
            </w:tcBorders>
            <w:vAlign w:val="center"/>
          </w:tcPr>
          <w:p>
            <w:pPr>
              <w:widowControl/>
              <w:tabs>
                <w:tab w:val="left" w:pos="700"/>
              </w:tabs>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F076"/>
            </w:r>
            <w:r>
              <w:rPr>
                <w:rFonts w:hint="eastAsia" w:asciiTheme="minorEastAsia" w:hAnsiTheme="minorEastAsia" w:eastAsiaTheme="minorEastAsia" w:cstheme="minorEastAsia"/>
                <w:kern w:val="0"/>
                <w:szCs w:val="21"/>
              </w:rPr>
              <w:t>货物技术参数响应一览表（格式</w:t>
            </w:r>
            <w:r>
              <w:rPr>
                <w:rFonts w:hint="eastAsia" w:asciiTheme="minorEastAsia" w:hAnsiTheme="minorEastAsia" w:eastAsiaTheme="minorEastAsia" w:cstheme="minorEastAsia"/>
                <w:kern w:val="0"/>
                <w:szCs w:val="21"/>
                <w:lang w:val="en-US" w:eastAsia="zh-CN"/>
              </w:rPr>
              <w:t>5</w:t>
            </w:r>
            <w:r>
              <w:rPr>
                <w:rFonts w:hint="eastAsia" w:asciiTheme="minorEastAsia" w:hAnsiTheme="minorEastAsia" w:eastAsiaTheme="minorEastAsia" w:cstheme="minorEastAsia"/>
                <w:kern w:val="0"/>
                <w:szCs w:val="21"/>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b/>
                <w:bCs/>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b/>
                <w:bCs/>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nil"/>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6237" w:type="dxa"/>
            <w:tcBorders>
              <w:top w:val="nil"/>
              <w:left w:val="nil"/>
              <w:bottom w:val="single" w:color="auto" w:sz="4" w:space="0"/>
              <w:right w:val="single" w:color="auto" w:sz="4" w:space="0"/>
            </w:tcBorders>
            <w:vAlign w:val="center"/>
          </w:tcPr>
          <w:p>
            <w:pPr>
              <w:widowControl/>
              <w:tabs>
                <w:tab w:val="left" w:pos="700"/>
              </w:tabs>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sym w:font="Wingdings" w:char="F076"/>
            </w:r>
            <w:r>
              <w:rPr>
                <w:rFonts w:hint="eastAsia" w:asciiTheme="minorEastAsia" w:hAnsiTheme="minorEastAsia" w:eastAsiaTheme="minorEastAsia" w:cstheme="minorEastAsia"/>
                <w:kern w:val="0"/>
                <w:szCs w:val="21"/>
              </w:rPr>
              <w:t>货物技术服务方案（格式</w:t>
            </w:r>
            <w:r>
              <w:rPr>
                <w:rFonts w:hint="eastAsia" w:asciiTheme="minorEastAsia" w:hAnsiTheme="minorEastAsia" w:eastAsiaTheme="minorEastAsia" w:cstheme="minorEastAsia"/>
                <w:kern w:val="0"/>
                <w:szCs w:val="21"/>
                <w:lang w:val="en-US" w:eastAsia="zh-CN"/>
              </w:rPr>
              <w:t>6</w:t>
            </w:r>
            <w:r>
              <w:rPr>
                <w:rFonts w:hint="eastAsia" w:asciiTheme="minorEastAsia" w:hAnsiTheme="minorEastAsia" w:eastAsiaTheme="minorEastAsia" w:cstheme="minorEastAsia"/>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850"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567" w:type="dxa"/>
            <w:tcBorders>
              <w:top w:val="nil"/>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nil"/>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6237" w:type="dxa"/>
            <w:tcBorders>
              <w:top w:val="nil"/>
              <w:left w:val="nil"/>
              <w:bottom w:val="single" w:color="auto" w:sz="4" w:space="0"/>
              <w:right w:val="single" w:color="auto" w:sz="4" w:space="0"/>
            </w:tcBorders>
            <w:vAlign w:val="center"/>
          </w:tcPr>
          <w:p>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响应人认为需要提交的其他资料</w:t>
            </w:r>
          </w:p>
        </w:tc>
        <w:tc>
          <w:tcPr>
            <w:tcW w:w="851"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850" w:type="dxa"/>
            <w:tcBorders>
              <w:top w:val="nil"/>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567" w:type="dxa"/>
            <w:tcBorders>
              <w:top w:val="nil"/>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kern w:val="0"/>
                <w:szCs w:val="21"/>
              </w:rPr>
            </w:pPr>
          </w:p>
        </w:tc>
      </w:tr>
      <w:tr>
        <w:tblPrEx>
          <w:tblLayout w:type="fixed"/>
          <w:tblCellMar>
            <w:top w:w="0" w:type="dxa"/>
            <w:left w:w="108" w:type="dxa"/>
            <w:bottom w:w="0" w:type="dxa"/>
            <w:right w:w="108" w:type="dxa"/>
          </w:tblCellMar>
        </w:tblPrEx>
        <w:trPr>
          <w:trHeight w:val="408" w:hRule="atLeast"/>
        </w:trPr>
        <w:tc>
          <w:tcPr>
            <w:tcW w:w="9228" w:type="dxa"/>
            <w:gridSpan w:val="5"/>
            <w:tcBorders>
              <w:top w:val="single" w:color="auto" w:sz="4" w:space="0"/>
              <w:left w:val="single" w:color="auto" w:sz="12" w:space="0"/>
              <w:bottom w:val="single" w:color="auto" w:sz="4" w:space="0"/>
              <w:right w:val="single" w:color="auto" w:sz="12"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四、商务文件目录表</w:t>
            </w: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6237"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bCs/>
                <w:szCs w:val="21"/>
              </w:rPr>
              <w:sym w:font="Wingdings" w:char="F076"/>
            </w:r>
            <w:r>
              <w:rPr>
                <w:rFonts w:hint="eastAsia" w:asciiTheme="minorEastAsia" w:hAnsiTheme="minorEastAsia" w:eastAsiaTheme="minorEastAsia" w:cstheme="minorEastAsia"/>
                <w:kern w:val="0"/>
                <w:szCs w:val="21"/>
              </w:rPr>
              <w:t>2017年至今</w:t>
            </w:r>
            <w:r>
              <w:rPr>
                <w:rFonts w:hint="eastAsia" w:ascii="宋体" w:hAnsi="宋体" w:cs="宋体"/>
              </w:rPr>
              <w:t>实验室仪器设备</w:t>
            </w:r>
            <w:r>
              <w:rPr>
                <w:rFonts w:hint="eastAsia" w:ascii="宋体" w:hAnsi="宋体" w:cs="宋体"/>
                <w:lang w:val="en-US" w:eastAsia="zh-CN"/>
              </w:rPr>
              <w:t>类项目</w:t>
            </w:r>
            <w:r>
              <w:rPr>
                <w:rFonts w:hint="eastAsia" w:asciiTheme="minorEastAsia" w:hAnsiTheme="minorEastAsia" w:eastAsiaTheme="minorEastAsia" w:cstheme="minorEastAsia"/>
                <w:kern w:val="0"/>
                <w:szCs w:val="21"/>
              </w:rPr>
              <w:t>业绩一览表（格式</w:t>
            </w:r>
            <w:r>
              <w:rPr>
                <w:rFonts w:hint="eastAsia" w:asciiTheme="minorEastAsia" w:hAnsiTheme="minorEastAsia" w:eastAsiaTheme="minorEastAsia" w:cstheme="minorEastAsia"/>
                <w:kern w:val="0"/>
                <w:szCs w:val="21"/>
                <w:lang w:val="en-US" w:eastAsia="zh-CN"/>
              </w:rPr>
              <w:t>7</w:t>
            </w:r>
            <w:r>
              <w:rPr>
                <w:rFonts w:hint="eastAsia" w:asciiTheme="minorEastAsia" w:hAnsiTheme="minorEastAsia" w:eastAsiaTheme="minorEastAsia" w:cstheme="minorEastAsia"/>
                <w:kern w:val="0"/>
                <w:szCs w:val="21"/>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6237" w:type="dxa"/>
            <w:tcBorders>
              <w:top w:val="single" w:color="auto" w:sz="4" w:space="0"/>
              <w:left w:val="nil"/>
              <w:bottom w:val="single" w:color="auto" w:sz="4" w:space="0"/>
              <w:right w:val="single" w:color="auto" w:sz="4" w:space="0"/>
            </w:tcBorders>
            <w:vAlign w:val="center"/>
          </w:tcPr>
          <w:p>
            <w:pPr>
              <w:widowControl/>
              <w:tabs>
                <w:tab w:val="left" w:pos="700"/>
              </w:tabs>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sym w:font="Wingdings" w:char="F076"/>
            </w:r>
            <w:r>
              <w:rPr>
                <w:rFonts w:hint="eastAsia" w:asciiTheme="minorEastAsia" w:hAnsiTheme="minorEastAsia" w:eastAsiaTheme="minorEastAsia" w:cstheme="minorEastAsia"/>
                <w:kern w:val="0"/>
                <w:szCs w:val="21"/>
              </w:rPr>
              <w:t>拟派本项目负责人及主要人员情况表（格式</w:t>
            </w:r>
            <w:r>
              <w:rPr>
                <w:rFonts w:hint="eastAsia" w:asciiTheme="minorEastAsia" w:hAnsiTheme="minorEastAsia" w:eastAsiaTheme="minorEastAsia" w:cstheme="minorEastAsia"/>
                <w:kern w:val="0"/>
                <w:szCs w:val="21"/>
                <w:lang w:val="en-US" w:eastAsia="zh-CN"/>
              </w:rPr>
              <w:t>8</w:t>
            </w:r>
            <w:r>
              <w:rPr>
                <w:rFonts w:hint="eastAsia" w:asciiTheme="minorEastAsia" w:hAnsiTheme="minorEastAsia" w:eastAsiaTheme="minorEastAsia" w:cstheme="minorEastAsia"/>
                <w:kern w:val="0"/>
                <w:szCs w:val="21"/>
              </w:rPr>
              <w:t>）</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6237" w:type="dxa"/>
            <w:tcBorders>
              <w:top w:val="single" w:color="auto" w:sz="4" w:space="0"/>
              <w:left w:val="nil"/>
              <w:bottom w:val="single" w:color="auto" w:sz="4" w:space="0"/>
              <w:right w:val="single" w:color="auto" w:sz="4" w:space="0"/>
            </w:tcBorders>
            <w:vAlign w:val="center"/>
          </w:tcPr>
          <w:p>
            <w:pPr>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投标人资质情况、信誉情况等资料</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567" w:type="dxa"/>
            <w:tcBorders>
              <w:top w:val="single" w:color="auto" w:sz="4" w:space="0"/>
              <w:left w:val="nil"/>
              <w:bottom w:val="single" w:color="auto" w:sz="4" w:space="0"/>
              <w:right w:val="single" w:color="auto" w:sz="12" w:space="0"/>
            </w:tcBorders>
            <w:vAlign w:val="center"/>
          </w:tcPr>
          <w:p>
            <w:pPr>
              <w:widowControl/>
              <w:jc w:val="center"/>
              <w:rPr>
                <w:rFonts w:asciiTheme="minorEastAsia" w:hAnsiTheme="minorEastAsia" w:eastAsiaTheme="minorEastAsia" w:cstheme="minorEastAsia"/>
                <w:kern w:val="0"/>
                <w:szCs w:val="21"/>
              </w:rPr>
            </w:pPr>
          </w:p>
        </w:tc>
      </w:tr>
      <w:tr>
        <w:tblPrEx>
          <w:tblLayout w:type="fixed"/>
          <w:tblCellMar>
            <w:top w:w="0" w:type="dxa"/>
            <w:left w:w="108" w:type="dxa"/>
            <w:bottom w:w="0" w:type="dxa"/>
            <w:right w:w="108" w:type="dxa"/>
          </w:tblCellMar>
        </w:tblPrEx>
        <w:trPr>
          <w:trHeight w:val="408" w:hRule="atLeast"/>
        </w:trPr>
        <w:tc>
          <w:tcPr>
            <w:tcW w:w="723" w:type="dxa"/>
            <w:tcBorders>
              <w:top w:val="single" w:color="auto" w:sz="4" w:space="0"/>
              <w:left w:val="single" w:color="auto" w:sz="12" w:space="0"/>
              <w:bottom w:val="single" w:color="auto" w:sz="12" w:space="0"/>
              <w:right w:val="single" w:color="auto" w:sz="4" w:space="0"/>
            </w:tcBorders>
            <w:vAlign w:val="center"/>
          </w:tcPr>
          <w:p>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4</w:t>
            </w:r>
          </w:p>
        </w:tc>
        <w:tc>
          <w:tcPr>
            <w:tcW w:w="6237" w:type="dxa"/>
            <w:tcBorders>
              <w:top w:val="single" w:color="auto" w:sz="4" w:space="0"/>
              <w:left w:val="nil"/>
              <w:bottom w:val="single" w:color="auto" w:sz="12" w:space="0"/>
              <w:right w:val="single" w:color="auto" w:sz="4" w:space="0"/>
            </w:tcBorders>
            <w:vAlign w:val="center"/>
          </w:tcPr>
          <w:p>
            <w:pPr>
              <w:widowControl/>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响应人认为需要提交的其他资料</w:t>
            </w:r>
          </w:p>
        </w:tc>
        <w:tc>
          <w:tcPr>
            <w:tcW w:w="851" w:type="dxa"/>
            <w:tcBorders>
              <w:top w:val="single" w:color="auto" w:sz="4" w:space="0"/>
              <w:left w:val="nil"/>
              <w:bottom w:val="single" w:color="auto" w:sz="12"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850" w:type="dxa"/>
            <w:tcBorders>
              <w:top w:val="single" w:color="auto" w:sz="4" w:space="0"/>
              <w:left w:val="nil"/>
              <w:bottom w:val="single" w:color="auto" w:sz="12" w:space="0"/>
              <w:right w:val="single" w:color="auto" w:sz="4" w:space="0"/>
            </w:tcBorders>
            <w:vAlign w:val="center"/>
          </w:tcPr>
          <w:p>
            <w:pPr>
              <w:widowControl/>
              <w:jc w:val="center"/>
              <w:rPr>
                <w:rFonts w:asciiTheme="minorEastAsia" w:hAnsiTheme="minorEastAsia" w:eastAsiaTheme="minorEastAsia" w:cstheme="minorEastAsia"/>
                <w:kern w:val="0"/>
                <w:szCs w:val="21"/>
              </w:rPr>
            </w:pPr>
          </w:p>
        </w:tc>
        <w:tc>
          <w:tcPr>
            <w:tcW w:w="567" w:type="dxa"/>
            <w:tcBorders>
              <w:top w:val="single" w:color="auto" w:sz="4" w:space="0"/>
              <w:left w:val="nil"/>
              <w:bottom w:val="single" w:color="auto" w:sz="12" w:space="0"/>
              <w:right w:val="single" w:color="auto" w:sz="12" w:space="0"/>
            </w:tcBorders>
            <w:vAlign w:val="center"/>
          </w:tcPr>
          <w:p>
            <w:pPr>
              <w:widowControl/>
              <w:jc w:val="center"/>
              <w:rPr>
                <w:rFonts w:asciiTheme="minorEastAsia" w:hAnsiTheme="minorEastAsia" w:eastAsiaTheme="minorEastAsia" w:cstheme="minorEastAsia"/>
                <w:kern w:val="0"/>
                <w:szCs w:val="21"/>
              </w:rPr>
            </w:pPr>
          </w:p>
        </w:tc>
      </w:tr>
    </w:tbl>
    <w:p>
      <w:pPr>
        <w:pStyle w:val="10"/>
        <w:spacing w:before="240"/>
        <w:rPr>
          <w:rFonts w:asciiTheme="minorEastAsia" w:hAnsiTheme="minorEastAsia" w:eastAsiaTheme="minorEastAsia" w:cstheme="minorEastAsia"/>
          <w:b/>
          <w:bCs/>
          <w:szCs w:val="21"/>
        </w:rPr>
      </w:pPr>
    </w:p>
    <w:p>
      <w:pPr>
        <w:pStyle w:val="10"/>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szCs w:val="21"/>
        </w:rPr>
        <w:t>注：</w:t>
      </w:r>
      <w:r>
        <w:rPr>
          <w:rFonts w:hint="eastAsia" w:asciiTheme="minorEastAsia" w:hAnsiTheme="minorEastAsia" w:eastAsiaTheme="minorEastAsia" w:cstheme="minorEastAsia"/>
          <w:kern w:val="0"/>
          <w:szCs w:val="21"/>
        </w:rPr>
        <w:t>（1）带“</w:t>
      </w:r>
      <w:r>
        <w:rPr>
          <w:rFonts w:hint="eastAsia" w:asciiTheme="minorEastAsia" w:hAnsiTheme="minorEastAsia" w:eastAsiaTheme="minorEastAsia" w:cstheme="minorEastAsia"/>
          <w:bCs/>
          <w:szCs w:val="21"/>
        </w:rPr>
        <w:sym w:font="Wingdings" w:char="F076"/>
      </w:r>
      <w:r>
        <w:rPr>
          <w:rFonts w:hint="eastAsia" w:asciiTheme="minorEastAsia" w:hAnsiTheme="minorEastAsia" w:eastAsiaTheme="minorEastAsia" w:cstheme="minorEastAsia"/>
          <w:kern w:val="0"/>
          <w:szCs w:val="21"/>
        </w:rPr>
        <w:t>”文件为必须提供的文件；</w:t>
      </w:r>
    </w:p>
    <w:p>
      <w:pPr>
        <w:pStyle w:val="10"/>
        <w:spacing w:line="360" w:lineRule="auto"/>
        <w:ind w:firstLine="445" w:firstLineChars="212"/>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（2）上述文件如为复印件的，必须加盖响应人公章；</w:t>
      </w:r>
    </w:p>
    <w:p>
      <w:pPr>
        <w:pStyle w:val="10"/>
        <w:spacing w:line="360" w:lineRule="auto"/>
        <w:ind w:firstLine="412" w:firstLineChars="196"/>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（3）响应人应自行承担所提供上述资料任何错漏而导致的一切后果；</w:t>
      </w:r>
    </w:p>
    <w:p>
      <w:pPr>
        <w:pStyle w:val="10"/>
        <w:spacing w:line="360" w:lineRule="auto"/>
        <w:ind w:firstLine="412" w:firstLineChars="196"/>
        <w:rPr>
          <w:rFonts w:asciiTheme="minorEastAsia" w:hAnsiTheme="minorEastAsia" w:eastAsiaTheme="minorEastAsia" w:cstheme="minorEastAsia"/>
          <w:kern w:val="0"/>
          <w:szCs w:val="21"/>
        </w:rPr>
        <w:sectPr>
          <w:headerReference r:id="rId3" w:type="default"/>
          <w:footerReference r:id="rId4" w:type="default"/>
          <w:pgSz w:w="11907" w:h="16840"/>
          <w:pgMar w:top="1417" w:right="1304" w:bottom="1361" w:left="1361" w:header="737" w:footer="454" w:gutter="0"/>
          <w:cols w:space="720" w:num="1"/>
          <w:docGrid w:linePitch="285" w:charSpace="0"/>
        </w:sectPr>
      </w:pPr>
      <w:r>
        <w:rPr>
          <w:rFonts w:hint="eastAsia" w:asciiTheme="minorEastAsia" w:hAnsiTheme="minorEastAsia" w:eastAsiaTheme="minorEastAsia" w:cstheme="minorEastAsia"/>
          <w:kern w:val="0"/>
          <w:szCs w:val="21"/>
        </w:rPr>
        <w:t>（4）响应人请按照上述顺序编好页码。</w:t>
      </w:r>
    </w:p>
    <w:p>
      <w:pPr>
        <w:snapToGrid w:val="0"/>
        <w:spacing w:before="240" w:line="360" w:lineRule="auto"/>
        <w:outlineLvl w:val="1"/>
        <w:rPr>
          <w:rFonts w:asciiTheme="minorEastAsia" w:hAnsiTheme="minorEastAsia" w:eastAsiaTheme="minorEastAsia" w:cstheme="minorEastAsia"/>
          <w:b/>
          <w:sz w:val="28"/>
          <w:szCs w:val="28"/>
        </w:rPr>
      </w:pPr>
      <w:bookmarkStart w:id="364" w:name="_Toc28488"/>
      <w:bookmarkStart w:id="365" w:name="_Toc21048_WPSOffice_Level1"/>
      <w:bookmarkStart w:id="366" w:name="_Toc2341665"/>
      <w:bookmarkStart w:id="367" w:name="_Toc14255"/>
      <w:bookmarkStart w:id="368" w:name="_Toc2341752"/>
      <w:bookmarkStart w:id="369" w:name="_Toc2341345"/>
      <w:bookmarkStart w:id="370" w:name="_Toc19190"/>
      <w:bookmarkStart w:id="371" w:name="_Toc13287"/>
      <w:bookmarkStart w:id="372" w:name="_Toc2286"/>
      <w:bookmarkStart w:id="373" w:name="_Toc2341914"/>
      <w:bookmarkStart w:id="374" w:name="_Toc533236395"/>
      <w:bookmarkStart w:id="375" w:name="_Toc334797768"/>
      <w:r>
        <w:rPr>
          <w:rFonts w:hint="eastAsia" w:asciiTheme="minorEastAsia" w:hAnsiTheme="minorEastAsia" w:eastAsiaTheme="minorEastAsia" w:cstheme="minorEastAsia"/>
          <w:bCs/>
          <w:sz w:val="24"/>
        </w:rPr>
        <w:t>格式1：响应函</w:t>
      </w:r>
      <w:bookmarkEnd w:id="364"/>
      <w:bookmarkEnd w:id="365"/>
      <w:bookmarkEnd w:id="366"/>
      <w:bookmarkEnd w:id="367"/>
      <w:bookmarkEnd w:id="368"/>
      <w:bookmarkEnd w:id="369"/>
      <w:bookmarkEnd w:id="370"/>
      <w:bookmarkEnd w:id="371"/>
      <w:bookmarkEnd w:id="372"/>
      <w:bookmarkEnd w:id="373"/>
      <w:r>
        <w:rPr>
          <w:rFonts w:hint="eastAsia" w:asciiTheme="minorEastAsia" w:hAnsiTheme="minorEastAsia" w:eastAsiaTheme="minorEastAsia" w:cstheme="minorEastAsia"/>
          <w:b/>
          <w:sz w:val="28"/>
          <w:szCs w:val="28"/>
        </w:rPr>
        <w:t xml:space="preserve"> </w:t>
      </w:r>
      <w:bookmarkEnd w:id="374"/>
      <w:bookmarkEnd w:id="375"/>
    </w:p>
    <w:p>
      <w:pPr>
        <w:spacing w:after="240"/>
        <w:jc w:val="center"/>
        <w:rPr>
          <w:rFonts w:ascii="黑体" w:hAnsi="黑体" w:eastAsia="黑体" w:cs="黑体"/>
          <w:sz w:val="30"/>
          <w:szCs w:val="30"/>
          <w:highlight w:val="yellow"/>
        </w:rPr>
      </w:pPr>
      <w:r>
        <w:rPr>
          <w:rFonts w:hint="eastAsia" w:ascii="黑体" w:hAnsi="黑体" w:eastAsia="黑体" w:cs="黑体"/>
          <w:sz w:val="30"/>
          <w:szCs w:val="30"/>
        </w:rPr>
        <w:t>响 应 函</w:t>
      </w:r>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b/>
          <w:szCs w:val="21"/>
        </w:rPr>
        <w:t>:</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b/>
          <w:szCs w:val="21"/>
        </w:rPr>
        <w:t>广州检验检测认证集团有限公司</w:t>
      </w:r>
    </w:p>
    <w:p>
      <w:pPr>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根据贵方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项目的采购文件要求，现正式授权</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i/>
          <w:szCs w:val="21"/>
          <w:u w:val="single"/>
        </w:rPr>
        <w:t>（被授权人职务及名称）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以响应人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i/>
          <w:szCs w:val="21"/>
          <w:u w:val="single"/>
        </w:rPr>
        <w:t>（响应人单位名称）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的名义全权代表我方参加响应上述项目。</w:t>
      </w:r>
    </w:p>
    <w:p>
      <w:pPr>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现依照贵方采购文件要求，提交响应文件正本</w:t>
      </w:r>
      <w:r>
        <w:rPr>
          <w:rFonts w:hint="eastAsia" w:asciiTheme="minorEastAsia" w:hAnsiTheme="minorEastAsia" w:eastAsiaTheme="minorEastAsia" w:cstheme="minorEastAsia"/>
          <w:szCs w:val="21"/>
          <w:u w:val="single"/>
        </w:rPr>
        <w:t>1</w:t>
      </w:r>
      <w:r>
        <w:rPr>
          <w:rFonts w:hint="eastAsia" w:asciiTheme="minorEastAsia" w:hAnsiTheme="minorEastAsia" w:eastAsiaTheme="minorEastAsia" w:cstheme="minorEastAsia"/>
          <w:szCs w:val="21"/>
        </w:rPr>
        <w:t>份，副本</w:t>
      </w:r>
      <w:r>
        <w:rPr>
          <w:rFonts w:hint="eastAsia" w:asciiTheme="minorEastAsia" w:hAnsiTheme="minorEastAsia" w:eastAsiaTheme="minorEastAsia" w:cstheme="minorEastAsia"/>
          <w:szCs w:val="21"/>
          <w:u w:val="single"/>
        </w:rPr>
        <w:t xml:space="preserve"> 2 </w:t>
      </w:r>
      <w:r>
        <w:rPr>
          <w:rFonts w:hint="eastAsia" w:asciiTheme="minorEastAsia" w:hAnsiTheme="minorEastAsia" w:eastAsiaTheme="minorEastAsia" w:cstheme="minorEastAsia"/>
          <w:szCs w:val="21"/>
        </w:rPr>
        <w:t>份，电子文件</w:t>
      </w:r>
      <w:r>
        <w:rPr>
          <w:rFonts w:hint="eastAsia" w:asciiTheme="minorEastAsia" w:hAnsiTheme="minorEastAsia" w:eastAsiaTheme="minorEastAsia" w:cstheme="minorEastAsia"/>
          <w:szCs w:val="21"/>
          <w:u w:val="single"/>
        </w:rPr>
        <w:t xml:space="preserve"> 1 </w:t>
      </w:r>
      <w:r>
        <w:rPr>
          <w:rFonts w:hint="eastAsia" w:asciiTheme="minorEastAsia" w:hAnsiTheme="minorEastAsia" w:eastAsiaTheme="minorEastAsia" w:cstheme="minorEastAsia"/>
          <w:szCs w:val="21"/>
        </w:rPr>
        <w:t>份。我方在此声明并同意：</w:t>
      </w:r>
    </w:p>
    <w:p>
      <w:pPr>
        <w:numPr>
          <w:ilvl w:val="0"/>
          <w:numId w:val="21"/>
        </w:numPr>
        <w:spacing w:before="24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我方决定参加响应，响应报价明细如下：</w:t>
      </w:r>
    </w:p>
    <w:tbl>
      <w:tblPr>
        <w:tblStyle w:val="21"/>
        <w:tblW w:w="9809" w:type="dxa"/>
        <w:tblInd w:w="-53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213"/>
        <w:gridCol w:w="813"/>
        <w:gridCol w:w="1700"/>
        <w:gridCol w:w="1600"/>
        <w:gridCol w:w="1336"/>
        <w:gridCol w:w="1663"/>
        <w:gridCol w:w="7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722" w:type="dxa"/>
            <w:shd w:val="clear" w:color="auto" w:fill="CFCECE" w:themeFill="background2" w:themeFillShade="E5"/>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213" w:type="dxa"/>
            <w:shd w:val="clear" w:color="auto" w:fill="CFCECE" w:themeFill="background2" w:themeFillShade="E5"/>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采购内容</w:t>
            </w:r>
          </w:p>
        </w:tc>
        <w:tc>
          <w:tcPr>
            <w:tcW w:w="813" w:type="dxa"/>
            <w:shd w:val="clear" w:color="auto" w:fill="CFCECE" w:themeFill="background2" w:themeFillShade="E5"/>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数量（台）</w:t>
            </w:r>
          </w:p>
        </w:tc>
        <w:tc>
          <w:tcPr>
            <w:tcW w:w="1700" w:type="dxa"/>
            <w:shd w:val="clear" w:color="auto" w:fill="CFCECE" w:themeFill="background2" w:themeFillShade="E5"/>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品牌&amp;规格型号</w:t>
            </w:r>
          </w:p>
        </w:tc>
        <w:tc>
          <w:tcPr>
            <w:tcW w:w="1600" w:type="dxa"/>
            <w:shd w:val="clear" w:color="auto" w:fill="CFCECE" w:themeFill="background2" w:themeFillShade="E5"/>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原厂商&amp;原产地</w:t>
            </w:r>
          </w:p>
        </w:tc>
        <w:tc>
          <w:tcPr>
            <w:tcW w:w="1336" w:type="dxa"/>
            <w:shd w:val="clear" w:color="auto" w:fill="CFCECE" w:themeFill="background2" w:themeFillShade="E5"/>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单价报价</w:t>
            </w:r>
          </w:p>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（人民币 元）</w:t>
            </w:r>
          </w:p>
        </w:tc>
        <w:tc>
          <w:tcPr>
            <w:tcW w:w="1663" w:type="dxa"/>
            <w:shd w:val="clear" w:color="auto" w:fill="CFCECE" w:themeFill="background2" w:themeFillShade="E5"/>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总报价</w:t>
            </w:r>
          </w:p>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（人民币/元）</w:t>
            </w:r>
          </w:p>
        </w:tc>
        <w:tc>
          <w:tcPr>
            <w:tcW w:w="762" w:type="dxa"/>
            <w:shd w:val="clear" w:color="auto" w:fill="CFCECE" w:themeFill="background2" w:themeFillShade="E5"/>
            <w:vAlign w:val="center"/>
          </w:tcPr>
          <w:p>
            <w:pPr>
              <w:widowControl/>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02" w:hRule="atLeast"/>
        </w:trPr>
        <w:tc>
          <w:tcPr>
            <w:tcW w:w="722" w:type="dxa"/>
            <w:shd w:val="clear" w:color="auto" w:fill="auto"/>
            <w:vAlign w:val="center"/>
          </w:tcPr>
          <w:p>
            <w:pPr>
              <w:pStyle w:val="26"/>
              <w:spacing w:line="360" w:lineRule="auto"/>
              <w:ind w:firstLine="0" w:firstLineChars="0"/>
              <w:jc w:val="center"/>
              <w:rPr>
                <w:rFonts w:asciiTheme="minorEastAsia" w:hAnsiTheme="minorEastAsia"/>
              </w:rPr>
            </w:pPr>
            <w:r>
              <w:rPr>
                <w:rFonts w:hint="eastAsia" w:asciiTheme="minorEastAsia" w:hAnsiTheme="minorEastAsia"/>
              </w:rPr>
              <w:t>1</w:t>
            </w:r>
          </w:p>
        </w:tc>
        <w:tc>
          <w:tcPr>
            <w:tcW w:w="1213" w:type="dxa"/>
            <w:shd w:val="clear" w:color="auto" w:fill="auto"/>
            <w:vAlign w:val="center"/>
          </w:tcPr>
          <w:p>
            <w:pPr>
              <w:spacing w:line="360" w:lineRule="auto"/>
              <w:jc w:val="center"/>
              <w:rPr>
                <w:rFonts w:asciiTheme="minorEastAsia" w:hAnsiTheme="minorEastAsia"/>
                <w:szCs w:val="21"/>
              </w:rPr>
            </w:pPr>
            <w:r>
              <w:rPr>
                <w:rFonts w:hint="eastAsia" w:ascii="宋体" w:hAnsi="宋体" w:cs="宋体"/>
                <w:bCs/>
                <w:szCs w:val="21"/>
              </w:rPr>
              <w:t>便携式环境级x/γ剂量率仪</w:t>
            </w:r>
          </w:p>
        </w:tc>
        <w:tc>
          <w:tcPr>
            <w:tcW w:w="813" w:type="dxa"/>
            <w:shd w:val="clear" w:color="auto" w:fill="auto"/>
            <w:vAlign w:val="center"/>
          </w:tcPr>
          <w:p>
            <w:pPr>
              <w:spacing w:line="360" w:lineRule="auto"/>
              <w:jc w:val="center"/>
              <w:rPr>
                <w:rFonts w:asciiTheme="minorEastAsia" w:hAnsiTheme="minorEastAsia"/>
                <w:szCs w:val="21"/>
              </w:rPr>
            </w:pPr>
            <w:r>
              <w:rPr>
                <w:rFonts w:hint="eastAsia" w:asciiTheme="minorEastAsia" w:hAnsiTheme="minorEastAsia"/>
                <w:szCs w:val="21"/>
              </w:rPr>
              <w:t>1</w:t>
            </w:r>
            <w:r>
              <w:rPr>
                <w:rFonts w:hint="eastAsia" w:ascii="宋体" w:hAnsi="宋体"/>
                <w:szCs w:val="21"/>
              </w:rPr>
              <w:t>台</w:t>
            </w:r>
          </w:p>
        </w:tc>
        <w:tc>
          <w:tcPr>
            <w:tcW w:w="1700" w:type="dxa"/>
            <w:vAlign w:val="center"/>
          </w:tcPr>
          <w:p>
            <w:pPr>
              <w:spacing w:line="360" w:lineRule="auto"/>
              <w:jc w:val="center"/>
              <w:rPr>
                <w:rFonts w:asciiTheme="minorEastAsia" w:hAnsiTheme="minorEastAsia"/>
              </w:rPr>
            </w:pPr>
          </w:p>
        </w:tc>
        <w:tc>
          <w:tcPr>
            <w:tcW w:w="1600" w:type="dxa"/>
            <w:vAlign w:val="center"/>
          </w:tcPr>
          <w:p>
            <w:pPr>
              <w:spacing w:line="360" w:lineRule="auto"/>
              <w:jc w:val="center"/>
              <w:rPr>
                <w:rFonts w:asciiTheme="minorEastAsia" w:hAnsiTheme="minorEastAsia"/>
              </w:rPr>
            </w:pPr>
          </w:p>
        </w:tc>
        <w:tc>
          <w:tcPr>
            <w:tcW w:w="1336" w:type="dxa"/>
            <w:shd w:val="clear" w:color="auto" w:fill="auto"/>
            <w:vAlign w:val="center"/>
          </w:tcPr>
          <w:p>
            <w:pPr>
              <w:spacing w:line="360" w:lineRule="auto"/>
              <w:jc w:val="center"/>
              <w:rPr>
                <w:rFonts w:asciiTheme="minorEastAsia" w:hAnsiTheme="minorEastAsia"/>
              </w:rPr>
            </w:pPr>
          </w:p>
        </w:tc>
        <w:tc>
          <w:tcPr>
            <w:tcW w:w="1663" w:type="dxa"/>
            <w:vMerge w:val="restart"/>
            <w:shd w:val="clear" w:color="auto" w:fill="auto"/>
            <w:vAlign w:val="center"/>
          </w:tcPr>
          <w:p>
            <w:pPr>
              <w:spacing w:line="360" w:lineRule="auto"/>
              <w:jc w:val="center"/>
              <w:rPr>
                <w:rFonts w:asciiTheme="minorEastAsia" w:hAnsiTheme="minorEastAsia"/>
              </w:rPr>
            </w:pPr>
          </w:p>
        </w:tc>
        <w:tc>
          <w:tcPr>
            <w:tcW w:w="762" w:type="dxa"/>
            <w:vMerge w:val="restart"/>
            <w:shd w:val="clear" w:color="auto" w:fill="auto"/>
            <w:vAlign w:val="center"/>
          </w:tcPr>
          <w:p>
            <w:pPr>
              <w:spacing w:line="360" w:lineRule="auto"/>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83" w:hRule="atLeast"/>
        </w:trPr>
        <w:tc>
          <w:tcPr>
            <w:tcW w:w="722" w:type="dxa"/>
            <w:shd w:val="clear" w:color="auto" w:fill="auto"/>
            <w:vAlign w:val="center"/>
          </w:tcPr>
          <w:p>
            <w:pPr>
              <w:pStyle w:val="26"/>
              <w:spacing w:line="360" w:lineRule="auto"/>
              <w:ind w:firstLine="0" w:firstLineChars="0"/>
              <w:jc w:val="center"/>
              <w:rPr>
                <w:rFonts w:asciiTheme="minorEastAsia" w:hAnsiTheme="minorEastAsia"/>
              </w:rPr>
            </w:pPr>
            <w:r>
              <w:rPr>
                <w:rFonts w:hint="eastAsia" w:asciiTheme="minorEastAsia" w:hAnsiTheme="minorEastAsia"/>
              </w:rPr>
              <w:t>2</w:t>
            </w:r>
          </w:p>
        </w:tc>
        <w:tc>
          <w:tcPr>
            <w:tcW w:w="1213" w:type="dxa"/>
            <w:shd w:val="clear" w:color="auto" w:fill="auto"/>
            <w:vAlign w:val="center"/>
          </w:tcPr>
          <w:p>
            <w:pPr>
              <w:spacing w:before="240" w:line="200" w:lineRule="exact"/>
              <w:ind w:left="315" w:hanging="315" w:hangingChars="150"/>
              <w:jc w:val="center"/>
              <w:rPr>
                <w:rFonts w:asciiTheme="minorEastAsia" w:hAnsiTheme="minorEastAsia"/>
                <w:szCs w:val="21"/>
              </w:rPr>
            </w:pPr>
            <w:r>
              <w:rPr>
                <w:rFonts w:hint="eastAsia" w:ascii="宋体" w:hAnsi="宋体" w:cs="宋体"/>
                <w:bCs/>
                <w:szCs w:val="21"/>
              </w:rPr>
              <w:t>α、β表面污染测量仪</w:t>
            </w:r>
          </w:p>
        </w:tc>
        <w:tc>
          <w:tcPr>
            <w:tcW w:w="813" w:type="dxa"/>
            <w:shd w:val="clear" w:color="auto" w:fill="auto"/>
            <w:vAlign w:val="center"/>
          </w:tcPr>
          <w:p>
            <w:pPr>
              <w:spacing w:line="360" w:lineRule="auto"/>
              <w:jc w:val="center"/>
              <w:rPr>
                <w:rFonts w:asciiTheme="minorEastAsia" w:hAnsiTheme="minorEastAsia"/>
                <w:szCs w:val="21"/>
              </w:rPr>
            </w:pPr>
            <w:r>
              <w:rPr>
                <w:rFonts w:hint="eastAsia" w:asciiTheme="minorEastAsia" w:hAnsiTheme="minorEastAsia"/>
                <w:szCs w:val="21"/>
              </w:rPr>
              <w:t>1</w:t>
            </w:r>
            <w:r>
              <w:rPr>
                <w:rFonts w:hint="eastAsia" w:ascii="宋体" w:hAnsi="宋体"/>
                <w:szCs w:val="21"/>
              </w:rPr>
              <w:t>台</w:t>
            </w:r>
          </w:p>
        </w:tc>
        <w:tc>
          <w:tcPr>
            <w:tcW w:w="1700" w:type="dxa"/>
            <w:vAlign w:val="center"/>
          </w:tcPr>
          <w:p>
            <w:pPr>
              <w:spacing w:line="360" w:lineRule="auto"/>
              <w:jc w:val="center"/>
              <w:rPr>
                <w:rFonts w:asciiTheme="minorEastAsia" w:hAnsiTheme="minorEastAsia"/>
              </w:rPr>
            </w:pPr>
          </w:p>
        </w:tc>
        <w:tc>
          <w:tcPr>
            <w:tcW w:w="1600" w:type="dxa"/>
            <w:vAlign w:val="center"/>
          </w:tcPr>
          <w:p>
            <w:pPr>
              <w:spacing w:line="360" w:lineRule="auto"/>
              <w:jc w:val="center"/>
              <w:rPr>
                <w:rFonts w:asciiTheme="minorEastAsia" w:hAnsiTheme="minorEastAsia"/>
              </w:rPr>
            </w:pPr>
          </w:p>
        </w:tc>
        <w:tc>
          <w:tcPr>
            <w:tcW w:w="1336" w:type="dxa"/>
            <w:shd w:val="clear" w:color="auto" w:fill="auto"/>
            <w:vAlign w:val="center"/>
          </w:tcPr>
          <w:p>
            <w:pPr>
              <w:spacing w:line="360" w:lineRule="auto"/>
              <w:jc w:val="center"/>
              <w:rPr>
                <w:rFonts w:asciiTheme="minorEastAsia" w:hAnsiTheme="minorEastAsia"/>
              </w:rPr>
            </w:pPr>
          </w:p>
        </w:tc>
        <w:tc>
          <w:tcPr>
            <w:tcW w:w="1663" w:type="dxa"/>
            <w:vMerge w:val="continue"/>
            <w:shd w:val="clear" w:color="auto" w:fill="auto"/>
            <w:vAlign w:val="center"/>
          </w:tcPr>
          <w:p>
            <w:pPr>
              <w:spacing w:line="360" w:lineRule="auto"/>
              <w:jc w:val="center"/>
              <w:rPr>
                <w:rFonts w:asciiTheme="minorEastAsia" w:hAnsiTheme="minorEastAsia"/>
              </w:rPr>
            </w:pPr>
          </w:p>
        </w:tc>
        <w:tc>
          <w:tcPr>
            <w:tcW w:w="762" w:type="dxa"/>
            <w:vMerge w:val="continue"/>
            <w:shd w:val="clear" w:color="auto" w:fill="auto"/>
            <w:vAlign w:val="center"/>
          </w:tcPr>
          <w:p>
            <w:pPr>
              <w:spacing w:line="360" w:lineRule="auto"/>
              <w:jc w:val="center"/>
              <w:rPr>
                <w:rFonts w:asciiTheme="minorEastAsia" w:hAnsiTheme="minor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02" w:hRule="atLeast"/>
        </w:trPr>
        <w:tc>
          <w:tcPr>
            <w:tcW w:w="722" w:type="dxa"/>
            <w:shd w:val="clear" w:color="auto" w:fill="auto"/>
            <w:vAlign w:val="center"/>
          </w:tcPr>
          <w:p>
            <w:pPr>
              <w:pStyle w:val="26"/>
              <w:spacing w:line="360" w:lineRule="auto"/>
              <w:ind w:firstLine="0" w:firstLineChars="0"/>
              <w:jc w:val="center"/>
              <w:rPr>
                <w:rFonts w:asciiTheme="minorEastAsia" w:hAnsiTheme="minorEastAsia"/>
              </w:rPr>
            </w:pPr>
            <w:r>
              <w:rPr>
                <w:rFonts w:hint="eastAsia" w:asciiTheme="minorEastAsia" w:hAnsiTheme="minorEastAsia"/>
              </w:rPr>
              <w:t>3</w:t>
            </w:r>
          </w:p>
        </w:tc>
        <w:tc>
          <w:tcPr>
            <w:tcW w:w="1213" w:type="dxa"/>
            <w:shd w:val="clear" w:color="auto" w:fill="auto"/>
            <w:vAlign w:val="center"/>
          </w:tcPr>
          <w:p>
            <w:pPr>
              <w:spacing w:before="240" w:line="200" w:lineRule="exact"/>
              <w:ind w:left="315" w:hanging="315" w:hangingChars="150"/>
              <w:jc w:val="center"/>
              <w:rPr>
                <w:rFonts w:asciiTheme="minorEastAsia" w:hAnsiTheme="minorEastAsia" w:eastAsiaTheme="minorEastAsia" w:cstheme="minorEastAsia"/>
                <w:szCs w:val="21"/>
              </w:rPr>
            </w:pPr>
            <w:r>
              <w:rPr>
                <w:rFonts w:hint="eastAsia" w:ascii="宋体" w:hAnsi="宋体" w:cs="宋体"/>
                <w:bCs/>
                <w:szCs w:val="21"/>
              </w:rPr>
              <w:t>电磁辐射分析仪</w:t>
            </w:r>
          </w:p>
        </w:tc>
        <w:tc>
          <w:tcPr>
            <w:tcW w:w="813" w:type="dxa"/>
            <w:shd w:val="clear" w:color="auto" w:fill="auto"/>
            <w:vAlign w:val="center"/>
          </w:tcPr>
          <w:p>
            <w:pPr>
              <w:spacing w:line="360" w:lineRule="auto"/>
              <w:jc w:val="center"/>
              <w:rPr>
                <w:rFonts w:asciiTheme="minorEastAsia" w:hAnsiTheme="minorEastAsia"/>
                <w:szCs w:val="21"/>
              </w:rPr>
            </w:pPr>
            <w:r>
              <w:rPr>
                <w:rFonts w:hint="eastAsia" w:asciiTheme="minorEastAsia" w:hAnsiTheme="minorEastAsia"/>
                <w:szCs w:val="21"/>
              </w:rPr>
              <w:t>1</w:t>
            </w:r>
            <w:r>
              <w:rPr>
                <w:rFonts w:hint="eastAsia" w:ascii="宋体" w:hAnsi="宋体"/>
                <w:szCs w:val="21"/>
              </w:rPr>
              <w:t>台</w:t>
            </w:r>
          </w:p>
        </w:tc>
        <w:tc>
          <w:tcPr>
            <w:tcW w:w="1700" w:type="dxa"/>
            <w:vAlign w:val="center"/>
          </w:tcPr>
          <w:p>
            <w:pPr>
              <w:spacing w:line="360" w:lineRule="auto"/>
              <w:jc w:val="center"/>
              <w:rPr>
                <w:rFonts w:asciiTheme="minorEastAsia" w:hAnsiTheme="minorEastAsia"/>
              </w:rPr>
            </w:pPr>
          </w:p>
        </w:tc>
        <w:tc>
          <w:tcPr>
            <w:tcW w:w="1600" w:type="dxa"/>
            <w:vAlign w:val="center"/>
          </w:tcPr>
          <w:p>
            <w:pPr>
              <w:spacing w:line="360" w:lineRule="auto"/>
              <w:jc w:val="center"/>
              <w:rPr>
                <w:rFonts w:asciiTheme="minorEastAsia" w:hAnsiTheme="minorEastAsia"/>
              </w:rPr>
            </w:pPr>
          </w:p>
        </w:tc>
        <w:tc>
          <w:tcPr>
            <w:tcW w:w="1336" w:type="dxa"/>
            <w:shd w:val="clear" w:color="auto" w:fill="auto"/>
            <w:vAlign w:val="center"/>
          </w:tcPr>
          <w:p>
            <w:pPr>
              <w:spacing w:line="360" w:lineRule="auto"/>
              <w:jc w:val="center"/>
              <w:rPr>
                <w:rFonts w:asciiTheme="minorEastAsia" w:hAnsiTheme="minorEastAsia"/>
              </w:rPr>
            </w:pPr>
          </w:p>
        </w:tc>
        <w:tc>
          <w:tcPr>
            <w:tcW w:w="1663" w:type="dxa"/>
            <w:vMerge w:val="continue"/>
            <w:shd w:val="clear" w:color="auto" w:fill="auto"/>
            <w:vAlign w:val="center"/>
          </w:tcPr>
          <w:p>
            <w:pPr>
              <w:spacing w:line="360" w:lineRule="auto"/>
              <w:jc w:val="center"/>
              <w:rPr>
                <w:rFonts w:asciiTheme="minorEastAsia" w:hAnsiTheme="minorEastAsia"/>
              </w:rPr>
            </w:pPr>
          </w:p>
        </w:tc>
        <w:tc>
          <w:tcPr>
            <w:tcW w:w="762" w:type="dxa"/>
            <w:vMerge w:val="continue"/>
            <w:shd w:val="clear" w:color="auto" w:fill="auto"/>
            <w:vAlign w:val="center"/>
          </w:tcPr>
          <w:p>
            <w:pPr>
              <w:spacing w:line="360" w:lineRule="auto"/>
              <w:jc w:val="center"/>
              <w:rPr>
                <w:rFonts w:asciiTheme="minorEastAsia" w:hAnsiTheme="minorEastAsia"/>
              </w:rPr>
            </w:pPr>
          </w:p>
        </w:tc>
      </w:tr>
    </w:tbl>
    <w:p>
      <w:pPr>
        <w:spacing w:before="240"/>
        <w:ind w:left="315" w:hanging="315" w:hanging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2.我方愿意遵守采购文件的各项规定，供应符合采购文件中所指定的</w:t>
      </w:r>
      <w:r>
        <w:rPr>
          <w:rFonts w:hint="eastAsia" w:asciiTheme="minorEastAsia" w:hAnsiTheme="minorEastAsia" w:eastAsiaTheme="minorEastAsia" w:cstheme="minorEastAsia"/>
          <w:szCs w:val="21"/>
          <w:u w:val="single"/>
        </w:rPr>
        <w:t>（项目名称）</w:t>
      </w:r>
      <w:r>
        <w:rPr>
          <w:rFonts w:hint="eastAsia" w:asciiTheme="minorEastAsia" w:hAnsiTheme="minorEastAsia" w:eastAsiaTheme="minorEastAsia" w:cstheme="minorEastAsia"/>
          <w:szCs w:val="21"/>
        </w:rPr>
        <w:t>，按采购文件的要求提供报价。</w:t>
      </w:r>
    </w:p>
    <w:p>
      <w:pPr>
        <w:ind w:left="315" w:hanging="315" w:hanging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 我方同意本响应文件自本项目公告之日起</w:t>
      </w:r>
      <w:r>
        <w:rPr>
          <w:rFonts w:hint="eastAsia" w:asciiTheme="minorEastAsia" w:hAnsiTheme="minorEastAsia" w:eastAsiaTheme="minorEastAsia" w:cstheme="minorEastAsia"/>
          <w:szCs w:val="21"/>
          <w:u w:val="single"/>
        </w:rPr>
        <w:t>90</w:t>
      </w:r>
      <w:r>
        <w:rPr>
          <w:rFonts w:hint="eastAsia" w:asciiTheme="minorEastAsia" w:hAnsiTheme="minorEastAsia" w:eastAsiaTheme="minorEastAsia" w:cstheme="minorEastAsia"/>
          <w:szCs w:val="21"/>
        </w:rPr>
        <w:t>天内有效。如果我方的响应被接受，则直至合同生效时止，本响应始终有效。</w:t>
      </w:r>
    </w:p>
    <w:p>
      <w:pPr>
        <w:ind w:left="315" w:hanging="315" w:hanging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我方已经详细地阅读了全部采购文件及附件，包括澄清及参考文件（如果有的话），我方完全清晰理解采购文件的要求，不存在任何含糊不清和误解之处，同意放弃对这些文件提出异议和质疑的权利。</w:t>
      </w:r>
    </w:p>
    <w:p>
      <w:pPr>
        <w:ind w:left="315" w:hanging="315" w:hanging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 我方完全接受本采购文件中关于响应的规定，并同意放弃对这规定提出异议和质疑的权利。</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 我方同意提供采购文件要求的有关响应的其它资料。</w:t>
      </w:r>
    </w:p>
    <w:p>
      <w:pPr>
        <w:ind w:left="315" w:hanging="315" w:hanging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 我方承诺在本次响应中提供的一切文件，无论是原件或是复印件均为真实和准确的，绝无任何虚假、伪造和夸大的成份。否则，我方愿意承担相应的后果和法律责任。</w:t>
      </w:r>
    </w:p>
    <w:p>
      <w:pPr>
        <w:ind w:left="315" w:hanging="315" w:hanging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 我方完全理解，项目采购评审小组并无义务必须接受最低报价的响应或其它任何响应。</w:t>
      </w:r>
    </w:p>
    <w:p>
      <w:pPr>
        <w:spacing w:before="24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所有与本响应有关的函件请按下列联系方式发送:</w:t>
      </w:r>
    </w:p>
    <w:p>
      <w:pPr>
        <w:spacing w:line="60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响应人全称：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Cs/>
          <w:szCs w:val="21"/>
          <w:u w:val="single"/>
        </w:rPr>
        <w:t>（加盖公章）</w:t>
      </w:r>
    </w:p>
    <w:p>
      <w:pPr>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u w:val="single"/>
        </w:rPr>
        <w:t xml:space="preserve">                                                </w:t>
      </w:r>
    </w:p>
    <w:p>
      <w:pPr>
        <w:spacing w:line="60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pacing w:val="46"/>
          <w:kern w:val="0"/>
          <w:szCs w:val="21"/>
          <w:fitText w:val="1400" w:id="0"/>
        </w:rPr>
        <w:t>邮政编</w:t>
      </w:r>
      <w:r>
        <w:rPr>
          <w:rFonts w:hint="eastAsia" w:asciiTheme="minorEastAsia" w:hAnsiTheme="minorEastAsia" w:eastAsiaTheme="minorEastAsia" w:cstheme="minorEastAsia"/>
          <w:spacing w:val="2"/>
          <w:kern w:val="0"/>
          <w:szCs w:val="21"/>
          <w:fitText w:val="1400" w:id="0"/>
        </w:rPr>
        <w:t>码</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传真：</w:t>
      </w:r>
      <w:r>
        <w:rPr>
          <w:rFonts w:hint="eastAsia" w:asciiTheme="minorEastAsia" w:hAnsiTheme="minorEastAsia" w:eastAsiaTheme="minorEastAsia" w:cstheme="minorEastAsia"/>
          <w:szCs w:val="21"/>
          <w:u w:val="single"/>
        </w:rPr>
        <w:t xml:space="preserve">               </w:t>
      </w:r>
    </w:p>
    <w:p>
      <w:pPr>
        <w:spacing w:line="60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电子邮箱：</w:t>
      </w:r>
      <w:r>
        <w:rPr>
          <w:rFonts w:hint="eastAsia" w:asciiTheme="minorEastAsia" w:hAnsiTheme="minorEastAsia" w:eastAsiaTheme="minorEastAsia" w:cstheme="minorEastAsia"/>
          <w:szCs w:val="21"/>
          <w:u w:val="single"/>
        </w:rPr>
        <w:t xml:space="preserve">                                </w:t>
      </w:r>
    </w:p>
    <w:p>
      <w:pPr>
        <w:tabs>
          <w:tab w:val="left" w:pos="3600"/>
        </w:tabs>
        <w:spacing w:line="60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法定代表人或其响应人授权代表(签字)：</w:t>
      </w:r>
    </w:p>
    <w:p>
      <w:pPr>
        <w:wordWrap w:val="0"/>
        <w:spacing w:before="120" w:after="120" w:line="600" w:lineRule="auto"/>
        <w:jc w:val="righ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年    月    日</w:t>
      </w:r>
    </w:p>
    <w:p>
      <w:pPr>
        <w:spacing w:line="360" w:lineRule="auto"/>
        <w:ind w:left="932" w:hanging="932" w:hangingChars="442"/>
        <w:rPr>
          <w:rFonts w:asciiTheme="minorEastAsia" w:hAnsiTheme="minorEastAsia" w:eastAsiaTheme="minorEastAsia" w:cstheme="minorEastAsia"/>
          <w:b/>
          <w:bCs/>
          <w:szCs w:val="21"/>
        </w:rPr>
      </w:pPr>
    </w:p>
    <w:p>
      <w:pPr>
        <w:spacing w:line="360" w:lineRule="auto"/>
        <w:ind w:left="932" w:hanging="932" w:hangingChars="442"/>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备注：</w:t>
      </w:r>
      <w:r>
        <w:rPr>
          <w:rFonts w:hint="eastAsia" w:asciiTheme="minorEastAsia" w:hAnsiTheme="minorEastAsia" w:eastAsiaTheme="minorEastAsia" w:cstheme="minorEastAsia"/>
          <w:spacing w:val="4"/>
          <w:szCs w:val="21"/>
        </w:rPr>
        <w:t>a.</w:t>
      </w:r>
      <w:r>
        <w:rPr>
          <w:rFonts w:hint="eastAsia" w:asciiTheme="minorEastAsia" w:hAnsiTheme="minorEastAsia" w:eastAsiaTheme="minorEastAsia" w:cstheme="minorEastAsia"/>
          <w:b/>
          <w:spacing w:val="4"/>
          <w:szCs w:val="21"/>
        </w:rPr>
        <w:t xml:space="preserve"> 温馨提示：</w:t>
      </w:r>
      <w:r>
        <w:rPr>
          <w:rFonts w:hint="eastAsia" w:asciiTheme="minorEastAsia" w:hAnsiTheme="minorEastAsia" w:eastAsiaTheme="minorEastAsia" w:cstheme="minorEastAsia"/>
          <w:spacing w:val="4"/>
          <w:szCs w:val="21"/>
        </w:rPr>
        <w:t>中文大写金额用汉字，如壹、贰、叁、肆、伍、陆、柒、捌、玖、拾、佰、仟、万、亿、元、角、分、零、整（正）等。</w:t>
      </w:r>
    </w:p>
    <w:p>
      <w:pPr>
        <w:spacing w:line="360" w:lineRule="auto"/>
        <w:ind w:firstLine="630" w:firstLineChars="300"/>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b. 响应报价的小数点后保留两位有效数。</w:t>
      </w:r>
    </w:p>
    <w:p>
      <w:pPr>
        <w:snapToGrid w:val="0"/>
        <w:spacing w:line="360" w:lineRule="auto"/>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c. 此表为采购文件的组成部分，须附在正、副本的响应文件中。</w:t>
      </w:r>
    </w:p>
    <w:p>
      <w:pPr>
        <w:snapToGrid w:val="0"/>
        <w:spacing w:line="360" w:lineRule="auto"/>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d. 此表内响应报价为最终价，除采购文件另有规定外，开标信封或响应文件内不得</w:t>
      </w:r>
    </w:p>
    <w:p>
      <w:pPr>
        <w:snapToGrid w:val="0"/>
        <w:spacing w:line="360" w:lineRule="auto"/>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含有任何对本报价进行价格折扣的说明或资料，否则为无效响应。</w:t>
      </w:r>
    </w:p>
    <w:p>
      <w:pPr>
        <w:snapToGrid w:val="0"/>
        <w:spacing w:line="360" w:lineRule="auto"/>
        <w:ind w:firstLine="630" w:firstLineChars="3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 本项目不接受有选择性的响应报价。</w:t>
      </w:r>
    </w:p>
    <w:p>
      <w:pPr>
        <w:snapToGrid w:val="0"/>
        <w:spacing w:before="240"/>
        <w:outlineLvl w:val="1"/>
        <w:rPr>
          <w:rFonts w:asciiTheme="minorEastAsia" w:hAnsiTheme="minorEastAsia" w:eastAsiaTheme="minorEastAsia" w:cstheme="minorEastAsia"/>
          <w:b/>
          <w:szCs w:val="21"/>
        </w:rPr>
      </w:pPr>
      <w:bookmarkStart w:id="376" w:name="_Toc334797771"/>
      <w:bookmarkStart w:id="377" w:name="_Toc2341346"/>
      <w:bookmarkStart w:id="378" w:name="_Toc2341753"/>
      <w:bookmarkStart w:id="379" w:name="_Toc2341666"/>
      <w:bookmarkStart w:id="380" w:name="_Toc2341915"/>
      <w:bookmarkStart w:id="381" w:name="_Toc533236396"/>
      <w:r>
        <w:rPr>
          <w:rFonts w:hint="eastAsia" w:asciiTheme="minorEastAsia" w:hAnsiTheme="minorEastAsia" w:eastAsiaTheme="minorEastAsia" w:cstheme="minorEastAsia"/>
          <w:b/>
          <w:szCs w:val="21"/>
        </w:rPr>
        <w:br w:type="page"/>
      </w:r>
    </w:p>
    <w:p>
      <w:pPr>
        <w:snapToGrid w:val="0"/>
        <w:spacing w:before="240"/>
        <w:outlineLvl w:val="1"/>
        <w:rPr>
          <w:rFonts w:hint="eastAsia" w:asciiTheme="minorEastAsia" w:hAnsiTheme="minorEastAsia" w:eastAsiaTheme="minorEastAsia" w:cstheme="minorEastAsia"/>
          <w:bCs/>
          <w:sz w:val="24"/>
        </w:rPr>
      </w:pPr>
      <w:bookmarkStart w:id="382" w:name="_Toc32347"/>
      <w:bookmarkStart w:id="383" w:name="_Toc31176"/>
      <w:bookmarkStart w:id="384" w:name="_Toc432_WPSOffice_Level1"/>
      <w:bookmarkStart w:id="385" w:name="_Toc10904"/>
      <w:bookmarkStart w:id="386" w:name="_Toc30749"/>
    </w:p>
    <w:p>
      <w:pPr>
        <w:snapToGrid w:val="0"/>
        <w:spacing w:before="240"/>
        <w:outlineLvl w:val="1"/>
        <w:rPr>
          <w:rFonts w:asciiTheme="minorEastAsia" w:hAnsiTheme="minorEastAsia" w:eastAsiaTheme="minorEastAsia" w:cstheme="minorEastAsia"/>
          <w:bCs/>
          <w:sz w:val="24"/>
        </w:rPr>
      </w:pPr>
      <w:bookmarkStart w:id="387" w:name="_Toc3844"/>
      <w:r>
        <w:rPr>
          <w:rFonts w:hint="eastAsia" w:asciiTheme="minorEastAsia" w:hAnsiTheme="minorEastAsia" w:eastAsiaTheme="minorEastAsia" w:cstheme="minorEastAsia"/>
          <w:bCs/>
          <w:sz w:val="24"/>
        </w:rPr>
        <w:t>格式2</w:t>
      </w:r>
      <w:bookmarkEnd w:id="376"/>
      <w:r>
        <w:rPr>
          <w:rFonts w:hint="eastAsia" w:asciiTheme="minorEastAsia" w:hAnsiTheme="minorEastAsia" w:eastAsiaTheme="minorEastAsia" w:cstheme="minorEastAsia"/>
          <w:bCs/>
          <w:sz w:val="24"/>
        </w:rPr>
        <w:t>：法定代表人证明及授权书</w:t>
      </w:r>
      <w:bookmarkEnd w:id="377"/>
      <w:bookmarkEnd w:id="378"/>
      <w:bookmarkEnd w:id="379"/>
      <w:bookmarkEnd w:id="380"/>
      <w:bookmarkEnd w:id="382"/>
      <w:bookmarkEnd w:id="383"/>
      <w:bookmarkEnd w:id="384"/>
      <w:bookmarkEnd w:id="385"/>
      <w:bookmarkEnd w:id="386"/>
      <w:bookmarkEnd w:id="387"/>
    </w:p>
    <w:p>
      <w:pPr>
        <w:snapToGrid w:val="0"/>
        <w:spacing w:before="240"/>
        <w:outlineLvl w:val="1"/>
        <w:rPr>
          <w:rFonts w:asciiTheme="minorEastAsia" w:hAnsiTheme="minorEastAsia" w:eastAsiaTheme="minorEastAsia" w:cstheme="minorEastAsia"/>
          <w:bCs/>
          <w:sz w:val="2"/>
          <w:szCs w:val="2"/>
        </w:rPr>
      </w:pPr>
    </w:p>
    <w:p>
      <w:pPr>
        <w:spacing w:after="240"/>
        <w:jc w:val="center"/>
        <w:rPr>
          <w:rFonts w:ascii="黑体" w:hAnsi="黑体" w:eastAsia="黑体" w:cs="黑体"/>
          <w:sz w:val="32"/>
          <w:szCs w:val="32"/>
        </w:rPr>
      </w:pPr>
      <w:r>
        <w:rPr>
          <w:rFonts w:hint="eastAsia" w:ascii="黑体" w:hAnsi="黑体" w:eastAsia="黑体" w:cs="黑体"/>
          <w:sz w:val="32"/>
          <w:szCs w:val="32"/>
        </w:rPr>
        <w:t xml:space="preserve"> 法定代表人证明及授权书</w:t>
      </w:r>
      <w:bookmarkEnd w:id="381"/>
    </w:p>
    <w:p>
      <w:pPr>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rPr>
        <w:t xml:space="preserve">致: </w:t>
      </w:r>
      <w:r>
        <w:rPr>
          <w:rFonts w:hint="eastAsia" w:asciiTheme="minorEastAsia" w:hAnsiTheme="minorEastAsia" w:eastAsiaTheme="minorEastAsia" w:cstheme="minorEastAsia"/>
          <w:b/>
          <w:szCs w:val="21"/>
        </w:rPr>
        <w:t>广州检验检测认证集团有限公司</w:t>
      </w:r>
    </w:p>
    <w:p>
      <w:pPr>
        <w:pStyle w:val="10"/>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本授权证明：</w:t>
      </w:r>
      <w:r>
        <w:rPr>
          <w:rFonts w:hint="eastAsia" w:asciiTheme="minorEastAsia" w:hAnsiTheme="minorEastAsia" w:eastAsiaTheme="minorEastAsia" w:cstheme="minorEastAsia"/>
          <w:i/>
          <w:szCs w:val="21"/>
          <w:u w:val="single"/>
        </w:rPr>
        <w:t>（法定代表人姓名）</w:t>
      </w:r>
      <w:r>
        <w:rPr>
          <w:rFonts w:hint="eastAsia" w:asciiTheme="minorEastAsia" w:hAnsiTheme="minorEastAsia" w:eastAsiaTheme="minorEastAsia" w:cstheme="minorEastAsia"/>
          <w:szCs w:val="21"/>
        </w:rPr>
        <w:t>是注册于</w:t>
      </w:r>
      <w:r>
        <w:rPr>
          <w:rFonts w:hint="eastAsia" w:asciiTheme="minorEastAsia" w:hAnsiTheme="minorEastAsia" w:eastAsiaTheme="minorEastAsia" w:cstheme="minorEastAsia"/>
          <w:i/>
          <w:szCs w:val="21"/>
          <w:u w:val="single"/>
        </w:rPr>
        <w:t>（省、市、县）</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i/>
          <w:szCs w:val="21"/>
          <w:u w:val="single"/>
        </w:rPr>
        <w:t>（响应人名称）</w:t>
      </w:r>
      <w:r>
        <w:rPr>
          <w:rFonts w:hint="eastAsia" w:asciiTheme="minorEastAsia" w:hAnsiTheme="minorEastAsia" w:eastAsiaTheme="minorEastAsia" w:cstheme="minorEastAsia"/>
          <w:szCs w:val="21"/>
        </w:rPr>
        <w:t>的法定代表人，现任</w:t>
      </w:r>
      <w:r>
        <w:rPr>
          <w:rFonts w:hint="eastAsia" w:asciiTheme="minorEastAsia" w:hAnsiTheme="minorEastAsia" w:eastAsiaTheme="minorEastAsia" w:cstheme="minorEastAsia"/>
          <w:i/>
          <w:szCs w:val="21"/>
          <w:u w:val="single"/>
        </w:rPr>
        <w:t>（法定代表人职务）</w:t>
      </w:r>
      <w:r>
        <w:rPr>
          <w:rFonts w:hint="eastAsia" w:asciiTheme="minorEastAsia" w:hAnsiTheme="minorEastAsia" w:eastAsiaTheme="minorEastAsia" w:cstheme="minorEastAsia"/>
          <w:szCs w:val="21"/>
        </w:rPr>
        <w:t>。在此授权</w:t>
      </w:r>
      <w:r>
        <w:rPr>
          <w:rFonts w:hint="eastAsia" w:asciiTheme="minorEastAsia" w:hAnsiTheme="minorEastAsia" w:eastAsiaTheme="minorEastAsia" w:cstheme="minorEastAsia"/>
          <w:i/>
          <w:szCs w:val="21"/>
          <w:u w:val="single"/>
        </w:rPr>
        <w:t>（被授权人姓名、职务）</w:t>
      </w:r>
      <w:r>
        <w:rPr>
          <w:rFonts w:hint="eastAsia" w:asciiTheme="minorEastAsia" w:hAnsiTheme="minorEastAsia" w:eastAsiaTheme="minorEastAsia" w:cstheme="minorEastAsia"/>
          <w:szCs w:val="21"/>
        </w:rPr>
        <w:t>作为我公司的全权代理人，在</w:t>
      </w:r>
      <w:r>
        <w:rPr>
          <w:rFonts w:hint="eastAsia" w:asciiTheme="minorEastAsia" w:hAnsiTheme="minorEastAsia" w:eastAsiaTheme="minorEastAsia" w:cstheme="minorEastAsia"/>
          <w:i/>
          <w:szCs w:val="21"/>
          <w:u w:val="single"/>
        </w:rPr>
        <w:t>（项目名称）</w:t>
      </w:r>
      <w:r>
        <w:rPr>
          <w:rFonts w:hint="eastAsia" w:asciiTheme="minorEastAsia" w:hAnsiTheme="minorEastAsia" w:eastAsiaTheme="minorEastAsia" w:cstheme="minorEastAsia"/>
          <w:szCs w:val="21"/>
        </w:rPr>
        <w:t>的响应（项目编号为：</w:t>
      </w:r>
      <w:r>
        <w:rPr>
          <w:rFonts w:hint="eastAsia" w:asciiTheme="minorEastAsia" w:hAnsiTheme="minorEastAsia" w:eastAsiaTheme="minorEastAsia" w:cstheme="minorEastAsia"/>
          <w:i/>
          <w:szCs w:val="21"/>
          <w:u w:val="single"/>
        </w:rPr>
        <w:t xml:space="preserve"> 穗广科竞〔20</w:t>
      </w:r>
      <w:r>
        <w:rPr>
          <w:rFonts w:hint="eastAsia" w:asciiTheme="minorEastAsia" w:hAnsiTheme="minorEastAsia" w:eastAsiaTheme="minorEastAsia" w:cstheme="minorEastAsia"/>
          <w:i/>
          <w:szCs w:val="21"/>
          <w:u w:val="single"/>
          <w:lang w:val="en-US" w:eastAsia="zh-CN"/>
        </w:rPr>
        <w:t>20</w:t>
      </w:r>
      <w:r>
        <w:rPr>
          <w:rFonts w:hint="eastAsia" w:asciiTheme="minorEastAsia" w:hAnsiTheme="minorEastAsia" w:eastAsiaTheme="minorEastAsia" w:cstheme="minorEastAsia"/>
          <w:i/>
          <w:szCs w:val="21"/>
          <w:u w:val="single"/>
        </w:rPr>
        <w:t>〕</w:t>
      </w:r>
      <w:r>
        <w:rPr>
          <w:rFonts w:hint="eastAsia" w:asciiTheme="minorEastAsia" w:hAnsiTheme="minorEastAsia" w:eastAsiaTheme="minorEastAsia" w:cstheme="minorEastAsia"/>
          <w:i/>
          <w:szCs w:val="21"/>
          <w:u w:val="single"/>
          <w:lang w:val="en-US" w:eastAsia="zh-CN"/>
        </w:rPr>
        <w:t>1</w:t>
      </w:r>
      <w:r>
        <w:rPr>
          <w:rFonts w:hint="eastAsia" w:asciiTheme="minorEastAsia" w:hAnsiTheme="minorEastAsia" w:eastAsiaTheme="minorEastAsia" w:cstheme="minorEastAsia"/>
          <w:i/>
          <w:szCs w:val="21"/>
          <w:u w:val="single"/>
        </w:rPr>
        <w:t>号）</w:t>
      </w:r>
      <w:r>
        <w:rPr>
          <w:rFonts w:hint="eastAsia" w:asciiTheme="minorEastAsia" w:hAnsiTheme="minorEastAsia" w:eastAsiaTheme="minorEastAsia" w:cstheme="minorEastAsia"/>
          <w:szCs w:val="21"/>
        </w:rPr>
        <w:t>及其合同执行过程中，以我公司的名义处理一切与之有关的事务。</w:t>
      </w:r>
    </w:p>
    <w:p>
      <w:pPr>
        <w:spacing w:line="30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本授权书于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日签字生效，特此声明。</w:t>
      </w:r>
    </w:p>
    <w:p>
      <w:pPr>
        <w:pStyle w:val="10"/>
        <w:spacing w:line="30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mc:AlternateContent>
          <mc:Choice Requires="wps">
            <w:drawing>
              <wp:anchor distT="0" distB="0" distL="114300" distR="114300" simplePos="0" relativeHeight="251651072" behindDoc="0" locked="0" layoutInCell="1" allowOverlap="1">
                <wp:simplePos x="0" y="0"/>
                <wp:positionH relativeFrom="column">
                  <wp:posOffset>3180715</wp:posOffset>
                </wp:positionH>
                <wp:positionV relativeFrom="paragraph">
                  <wp:posOffset>40640</wp:posOffset>
                </wp:positionV>
                <wp:extent cx="3095625" cy="1943735"/>
                <wp:effectExtent l="9525" t="9525" r="19050" b="27940"/>
                <wp:wrapNone/>
                <wp:docPr id="5" name="圆角矩形 4"/>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91"/>
                          </a:avLst>
                        </a:prstGeom>
                        <a:noFill/>
                        <a:ln w="19050" cap="flat" cmpd="thickThin">
                          <a:solidFill>
                            <a:srgbClr val="7F7F7F">
                              <a:lumMod val="50000"/>
                            </a:srgbClr>
                          </a:solidFill>
                          <a:prstDash val="solid"/>
                          <a:headEnd type="none" w="med" len="med"/>
                          <a:tailEnd type="none" w="med" len="med"/>
                        </a:ln>
                        <a:effectLst/>
                      </wps:spPr>
                      <wps:bodyPr anchor="ctr" upright="1"/>
                    </wps:wsp>
                  </a:graphicData>
                </a:graphic>
              </wp:anchor>
            </w:drawing>
          </mc:Choice>
          <mc:Fallback>
            <w:pict>
              <v:roundrect id="圆角矩形 4" o:spid="_x0000_s1026" o:spt="2" style="position:absolute;left:0pt;margin-left:250.45pt;margin-top:3.2pt;height:153.05pt;width:243.75pt;z-index:251651072;v-text-anchor:middle;mso-width-relative:page;mso-height-relative:page;" filled="f" stroked="t" coordsize="21600,21600" arcsize="0.0249074074074074" o:gfxdata="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LxuzNcA&#10;AAAJAQAADwAAAAAAAAABACAAAAAiAAAAZHJzL2Rvd25yZXYueG1sUEsBAhQAFAAAAAgAh07iQIRQ&#10;PRAgAgAAGAQAAA4AAAAAAAAAAQAgAAAAJgEAAGRycy9lMm9Eb2MueG1sUEsFBgAAAAAGAAYAWQEA&#10;ALgFAAAAAA==&#10;">
                <v:fill on="f" focussize="0,0"/>
                <v:stroke weight="1.5pt" color="#404040" linestyle="thickThin" joinstyle="round"/>
                <v:imagedata o:title=""/>
                <o:lock v:ext="edit" aspectratio="f"/>
              </v:roundrect>
            </w:pict>
          </mc:Fallback>
        </mc:AlternateContent>
      </w:r>
      <w:r>
        <w:rPr>
          <w:rFonts w:asciiTheme="minorEastAsia" w:hAnsiTheme="minorEastAsia" w:eastAsiaTheme="minorEastAsia" w:cstheme="minorEastAsia"/>
          <w:szCs w:val="21"/>
        </w:rPr>
        <mc:AlternateContent>
          <mc:Choice Requires="wps">
            <w:drawing>
              <wp:anchor distT="0" distB="0" distL="114300" distR="114300" simplePos="0" relativeHeight="251648000" behindDoc="0" locked="0" layoutInCell="1" allowOverlap="1">
                <wp:simplePos x="0" y="0"/>
                <wp:positionH relativeFrom="column">
                  <wp:posOffset>8890</wp:posOffset>
                </wp:positionH>
                <wp:positionV relativeFrom="paragraph">
                  <wp:posOffset>40640</wp:posOffset>
                </wp:positionV>
                <wp:extent cx="3095625" cy="1943735"/>
                <wp:effectExtent l="9525" t="9525" r="19050" b="27940"/>
                <wp:wrapNone/>
                <wp:docPr id="2" name="圆角矩形 3"/>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91"/>
                          </a:avLst>
                        </a:prstGeom>
                        <a:noFill/>
                        <a:ln w="19050" cap="flat" cmpd="thickThin">
                          <a:solidFill>
                            <a:srgbClr val="7F7F7F">
                              <a:lumMod val="50000"/>
                            </a:srgbClr>
                          </a:solidFill>
                          <a:prstDash val="solid"/>
                          <a:headEnd type="none" w="med" len="med"/>
                          <a:tailEnd type="none" w="med" len="med"/>
                        </a:ln>
                        <a:effectLst/>
                      </wps:spPr>
                      <wps:bodyPr anchor="ctr" upright="1"/>
                    </wps:wsp>
                  </a:graphicData>
                </a:graphic>
              </wp:anchor>
            </w:drawing>
          </mc:Choice>
          <mc:Fallback>
            <w:pict>
              <v:roundrect id="圆角矩形 3" o:spid="_x0000_s1026" o:spt="2" style="position:absolute;left:0pt;margin-left:0.7pt;margin-top:3.2pt;height:153.05pt;width:243.75pt;z-index:251648000;v-text-anchor:middle;mso-width-relative:page;mso-height-relative:page;" filled="f" stroked="t" coordsize="21600,21600" arcsize="0.0249074074074074" o:gfxdata="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o3RYbUAAAA&#10;BwEAAA8AAAAAAAAAAQAgAAAAIgAAAGRycy9kb3ducmV2LnhtbFBLAQIUABQAAAAIAIdO4kCsGq/s&#10;IQIAABgEAAAOAAAAAAAAAAEAIAAAACMBAABkcnMvZTJvRG9jLnhtbFBLBQYAAAAABgAGAFkBAAC2&#10;BQAAAAA=&#10;">
                <v:fill on="f" focussize="0,0"/>
                <v:stroke weight="1.5pt" color="#404040" linestyle="thickThin" joinstyle="round"/>
                <v:imagedata o:title=""/>
                <o:lock v:ext="edit" aspectratio="f"/>
              </v:roundrect>
            </w:pict>
          </mc:Fallback>
        </mc:AlternateContent>
      </w:r>
    </w:p>
    <w:p>
      <w:pPr>
        <w:pStyle w:val="10"/>
        <w:spacing w:line="30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mc:AlternateContent>
          <mc:Choice Requires="wps">
            <w:drawing>
              <wp:anchor distT="0" distB="0" distL="114300" distR="114300" simplePos="0" relativeHeight="251663360" behindDoc="0" locked="0" layoutInCell="1" allowOverlap="1">
                <wp:simplePos x="0" y="0"/>
                <wp:positionH relativeFrom="column">
                  <wp:posOffset>3218815</wp:posOffset>
                </wp:positionH>
                <wp:positionV relativeFrom="paragraph">
                  <wp:posOffset>63500</wp:posOffset>
                </wp:positionV>
                <wp:extent cx="3028950" cy="892810"/>
                <wp:effectExtent l="0" t="0" r="0" b="2540"/>
                <wp:wrapNone/>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a:effectLst/>
                      </wps:spPr>
                      <wps:txbx>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法定代表人</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3.45pt;margin-top:5pt;height:70.3pt;width:238.5pt;z-index:251663360;mso-width-relative:page;mso-height-relative:margin;mso-height-percent:200;" fillcolor="#FFFFFF" filled="t" stroked="f" coordsize="21600,21600" o:gfxdata="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e2ST1QAA&#10;AAoBAAAPAAAAAAAAAAEAIAAAACIAAABkcnMvZG93bnJldi54bWxQSwECFAAUAAAACACHTuJAjreh&#10;biECAAATBAAADgAAAAAAAAABACAAAAAkAQAAZHJzL2Uyb0RvYy54bWxQSwUGAAAAAAYABgBZAQAA&#10;twU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法定代表人</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居民身份证反面复印件黏贴处</w:t>
                      </w:r>
                    </w:p>
                  </w:txbxContent>
                </v:textbox>
              </v:shape>
            </w:pict>
          </mc:Fallback>
        </mc:AlternateContent>
      </w:r>
      <w:r>
        <w:rPr>
          <w:rFonts w:asciiTheme="minorEastAsia" w:hAnsiTheme="minorEastAsia" w:eastAsiaTheme="minorEastAsia" w:cstheme="minorEastAsia"/>
          <w:szCs w:val="21"/>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63500</wp:posOffset>
                </wp:positionV>
                <wp:extent cx="3028950" cy="892810"/>
                <wp:effectExtent l="0" t="0" r="0" b="254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a:effectLst/>
                      </wps:spPr>
                      <wps:txbx>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法定代表人</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pt;margin-top:5pt;height:70.3pt;width:238.5pt;z-index:251660288;mso-width-relative:page;mso-height-relative:margin;mso-height-percent:200;" fillcolor="#FFFFFF" filled="t" stroked="f" coordsize="21600,21600" o:gfxdata="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o78NZ&#10;1QAAAAgBAAAPAAAAAAAAAAEAIAAAACIAAABkcnMvZG93bnJldi54bWxQSwECFAAUAAAACACHTuJA&#10;osUM6iQCAAAUBAAADgAAAAAAAAABACAAAAAkAQAAZHJzL2Uyb0RvYy54bWxQSwUGAAAAAAYABgBZ&#10;AQAAugU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法定代表人</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居民身份证正面复印件黏贴处</w:t>
                      </w:r>
                    </w:p>
                  </w:txbxContent>
                </v:textbox>
              </v:shape>
            </w:pict>
          </mc:Fallback>
        </mc:AlternateContent>
      </w:r>
    </w:p>
    <w:p>
      <w:pPr>
        <w:pStyle w:val="10"/>
        <w:spacing w:line="300" w:lineRule="auto"/>
        <w:jc w:val="center"/>
        <w:rPr>
          <w:rFonts w:asciiTheme="minorEastAsia" w:hAnsiTheme="minorEastAsia" w:eastAsiaTheme="minorEastAsia" w:cstheme="minorEastAsia"/>
          <w:szCs w:val="21"/>
        </w:rPr>
      </w:pPr>
    </w:p>
    <w:p>
      <w:pPr>
        <w:pStyle w:val="10"/>
        <w:spacing w:line="300" w:lineRule="auto"/>
        <w:jc w:val="center"/>
        <w:rPr>
          <w:rFonts w:asciiTheme="minorEastAsia" w:hAnsiTheme="minorEastAsia" w:eastAsiaTheme="minorEastAsia" w:cstheme="minorEastAsia"/>
          <w:szCs w:val="21"/>
        </w:rPr>
      </w:pPr>
    </w:p>
    <w:p>
      <w:pPr>
        <w:spacing w:line="300" w:lineRule="auto"/>
        <w:ind w:firstLine="420" w:firstLineChars="200"/>
        <w:rPr>
          <w:rFonts w:asciiTheme="minorEastAsia" w:hAnsiTheme="minorEastAsia" w:eastAsiaTheme="minorEastAsia" w:cstheme="minorEastAsia"/>
          <w:szCs w:val="21"/>
        </w:rPr>
      </w:pPr>
    </w:p>
    <w:p>
      <w:pPr>
        <w:spacing w:before="240" w:after="240"/>
        <w:rPr>
          <w:rFonts w:asciiTheme="minorEastAsia" w:hAnsiTheme="minorEastAsia" w:eastAsiaTheme="minorEastAsia" w:cstheme="minorEastAsia"/>
          <w:szCs w:val="21"/>
        </w:rPr>
      </w:pPr>
    </w:p>
    <w:p>
      <w:pPr>
        <w:spacing w:before="240" w:after="240"/>
        <w:rPr>
          <w:rFonts w:asciiTheme="minorEastAsia" w:hAnsiTheme="minorEastAsia" w:eastAsiaTheme="minorEastAsia" w:cstheme="minorEastAsia"/>
          <w:szCs w:val="21"/>
        </w:rPr>
      </w:pPr>
    </w:p>
    <w:p>
      <w:pPr>
        <w:spacing w:before="240" w:after="24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法定代表人（签字）：                                   年     月    日</w:t>
      </w:r>
    </w:p>
    <w:p>
      <w:pPr>
        <w:spacing w:before="240" w:after="240" w:line="300" w:lineRule="auto"/>
        <w:rPr>
          <w:rFonts w:asciiTheme="minorEastAsia" w:hAnsiTheme="minorEastAsia" w:eastAsiaTheme="minorEastAsia" w:cstheme="minorEastAsia"/>
          <w:szCs w:val="21"/>
        </w:rPr>
      </w:pPr>
      <w:r>
        <w:rPr>
          <w:rFonts w:asciiTheme="minorEastAsia" w:hAnsiTheme="minorEastAsia" w:eastAsiaTheme="minorEastAsia" w:cstheme="minorEastAsia"/>
          <w:szCs w:val="21"/>
        </w:rPr>
        <mc:AlternateContent>
          <mc:Choice Requires="wps">
            <w:drawing>
              <wp:anchor distT="0" distB="0" distL="114300" distR="114300" simplePos="0" relativeHeight="251669504" behindDoc="0" locked="0" layoutInCell="1" allowOverlap="1">
                <wp:simplePos x="0" y="0"/>
                <wp:positionH relativeFrom="column">
                  <wp:posOffset>3218815</wp:posOffset>
                </wp:positionH>
                <wp:positionV relativeFrom="paragraph">
                  <wp:posOffset>530225</wp:posOffset>
                </wp:positionV>
                <wp:extent cx="3028950" cy="892810"/>
                <wp:effectExtent l="0" t="0" r="0" b="2540"/>
                <wp:wrapNone/>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a:effectLst/>
                      </wps:spPr>
                      <wps:txbx>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被授权人(响应人授权代表)</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居民身份证反面复印件黏贴处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53.45pt;margin-top:41.75pt;height:70.3pt;width:238.5pt;z-index:251669504;mso-width-relative:page;mso-height-relative:margin;mso-height-percent:200;" fillcolor="#FFFFFF" filled="t" stroked="f" coordsize="21600,21600" o:gfxdata="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Qt&#10;MTPZAAAACgEAAA8AAAAAAAAAAQAgAAAAIgAAAGRycy9kb3ducmV2LnhtbFBLAQIUABQAAAAIAIdO&#10;4kAwD8vXIgIAABMEAAAOAAAAAAAAAAEAIAAAACgBAABkcnMvZTJvRG9jLnhtbFBLBQYAAAAABgAG&#10;AFkBAAC8BQ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被授权人(响应人授权代表)</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居民身份证反面复印件黏贴处</w:t>
                      </w:r>
                    </w:p>
                  </w:txbxContent>
                </v:textbox>
              </v:shape>
            </w:pict>
          </mc:Fallback>
        </mc:AlternateContent>
      </w:r>
      <w:r>
        <w:rPr>
          <w:rFonts w:asciiTheme="minorEastAsia" w:hAnsiTheme="minorEastAsia" w:eastAsiaTheme="minorEastAsia" w:cstheme="minorEastAsia"/>
          <w:szCs w:val="21"/>
        </w:rPr>
        <mc:AlternateContent>
          <mc:Choice Requires="wps">
            <w:drawing>
              <wp:anchor distT="0" distB="0" distL="114300" distR="114300" simplePos="0" relativeHeight="251666432" behindDoc="0" locked="0" layoutInCell="1" allowOverlap="1">
                <wp:simplePos x="0" y="0"/>
                <wp:positionH relativeFrom="column">
                  <wp:posOffset>37465</wp:posOffset>
                </wp:positionH>
                <wp:positionV relativeFrom="paragraph">
                  <wp:posOffset>530225</wp:posOffset>
                </wp:positionV>
                <wp:extent cx="3028950" cy="892810"/>
                <wp:effectExtent l="0" t="0" r="0" b="254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8950" cy="892810"/>
                        </a:xfrm>
                        <a:prstGeom prst="rect">
                          <a:avLst/>
                        </a:prstGeom>
                        <a:solidFill>
                          <a:srgbClr val="FFFFFF"/>
                        </a:solidFill>
                        <a:ln w="9525">
                          <a:noFill/>
                          <a:miter lim="800000"/>
                        </a:ln>
                        <a:effectLst/>
                      </wps:spPr>
                      <wps:txbx>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被授权人(响应人授权代表)</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居民身份证正面复印件黏贴处</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95pt;margin-top:41.75pt;height:70.3pt;width:238.5pt;z-index:251666432;mso-width-relative:page;mso-height-relative:margin;mso-height-percent:200;" fillcolor="#FFFFFF" filled="t" stroked="f" coordsize="21600,21600" o:gfxdata="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HuZb5&#10;1wAAAAgBAAAPAAAAAAAAAAEAIAAAACIAAABkcnMvZG93bnJldi54bWxQSwECFAAUAAAACACHTuJA&#10;hIEd7CICAAATBAAADgAAAAAAAAABACAAAAAmAQAAZHJzL2Uyb0RvYy54bWxQSwUGAAAAAAYABgBZ&#10;AQAAugUAAAAA&#10;">
                <v:fill on="t" focussize="0,0"/>
                <v:stroke on="f" miterlimit="8" joinstyle="miter"/>
                <v:imagedata o:title=""/>
                <o:lock v:ext="edit" aspectratio="f"/>
                <v:textbox style="mso-fit-shape-to-text:t;">
                  <w:txbxContent>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被授权人(响应人授权代表)</w:t>
                      </w:r>
                    </w:p>
                    <w:p>
                      <w:pPr>
                        <w:spacing w:line="360" w:lineRule="auto"/>
                        <w:jc w:val="center"/>
                        <w:rPr>
                          <w:rFonts w:ascii="仿宋_GB2312" w:eastAsia="仿宋_GB2312"/>
                          <w:color w:val="A6A6A6" w:themeColor="background1" w:themeShade="A6"/>
                          <w:sz w:val="32"/>
                        </w:rPr>
                      </w:pPr>
                      <w:r>
                        <w:rPr>
                          <w:rFonts w:hint="eastAsia" w:ascii="仿宋_GB2312" w:eastAsia="仿宋_GB2312"/>
                          <w:color w:val="A6A6A6" w:themeColor="background1" w:themeShade="A6"/>
                          <w:sz w:val="32"/>
                        </w:rPr>
                        <w:t>居民身份证正面复印件黏贴处</w:t>
                      </w:r>
                    </w:p>
                  </w:txbxContent>
                </v:textbox>
              </v:shape>
            </w:pict>
          </mc:Fallback>
        </mc:AlternateContent>
      </w:r>
      <w:r>
        <w:rPr>
          <w:rFonts w:asciiTheme="minorEastAsia" w:hAnsiTheme="minorEastAsia" w:eastAsiaTheme="minorEastAsia" w:cstheme="minorEastAsia"/>
          <w:szCs w:val="21"/>
        </w:rPr>
        <mc:AlternateContent>
          <mc:Choice Requires="wps">
            <w:drawing>
              <wp:anchor distT="0" distB="0" distL="114300" distR="114300" simplePos="0" relativeHeight="251657216" behindDoc="0" locked="0" layoutInCell="1" allowOverlap="1">
                <wp:simplePos x="0" y="0"/>
                <wp:positionH relativeFrom="column">
                  <wp:posOffset>3180715</wp:posOffset>
                </wp:positionH>
                <wp:positionV relativeFrom="paragraph">
                  <wp:posOffset>3175</wp:posOffset>
                </wp:positionV>
                <wp:extent cx="3095625" cy="1943735"/>
                <wp:effectExtent l="9525" t="9525" r="19050" b="27940"/>
                <wp:wrapNone/>
                <wp:docPr id="4" name="圆角矩形 6"/>
                <wp:cNvGraphicFramePr/>
                <a:graphic xmlns:a="http://schemas.openxmlformats.org/drawingml/2006/main">
                  <a:graphicData uri="http://schemas.microsoft.com/office/word/2010/wordprocessingShape">
                    <wps:wsp>
                      <wps:cNvSpPr/>
                      <wps:spPr>
                        <a:xfrm>
                          <a:off x="0" y="0"/>
                          <a:ext cx="3095625" cy="1943735"/>
                        </a:xfrm>
                        <a:prstGeom prst="roundRect">
                          <a:avLst>
                            <a:gd name="adj" fmla="val 2491"/>
                          </a:avLst>
                        </a:prstGeom>
                        <a:noFill/>
                        <a:ln w="19050" cap="flat" cmpd="thickThin">
                          <a:solidFill>
                            <a:srgbClr val="7F7F7F">
                              <a:lumMod val="50000"/>
                            </a:srgbClr>
                          </a:solidFill>
                          <a:prstDash val="solid"/>
                          <a:headEnd type="none" w="med" len="med"/>
                          <a:tailEnd type="none" w="med" len="med"/>
                        </a:ln>
                        <a:effectLst/>
                      </wps:spPr>
                      <wps:bodyPr anchor="ctr" upright="1"/>
                    </wps:wsp>
                  </a:graphicData>
                </a:graphic>
              </wp:anchor>
            </w:drawing>
          </mc:Choice>
          <mc:Fallback>
            <w:pict>
              <v:roundrect id="圆角矩形 6" o:spid="_x0000_s1026" o:spt="2" style="position:absolute;left:0pt;margin-left:250.45pt;margin-top:0.25pt;height:153.05pt;width:243.75pt;z-index:251657216;v-text-anchor:middle;mso-width-relative:page;mso-height-relative:page;" filled="f" stroked="t" coordsize="21600,21600" arcsize="0.0249074074074074" o:gfxdata="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Q/DbjVAAAA&#10;CAEAAA8AAAAAAAAAAQAgAAAAIgAAAGRycy9kb3ducmV2LnhtbFBLAQIUABQAAAAIAIdO4kBgJm0X&#10;IAIAABgEAAAOAAAAAAAAAAEAIAAAACQBAABkcnMvZTJvRG9jLnhtbFBLBQYAAAAABgAGAFkBAAC2&#10;BQAAAAA=&#10;">
                <v:fill on="f" focussize="0,0"/>
                <v:stroke weight="1.5pt" color="#404040" linestyle="thickThin" joinstyle="round"/>
                <v:imagedata o:title=""/>
                <o:lock v:ext="edit" aspectratio="f"/>
              </v:roundrect>
            </w:pict>
          </mc:Fallback>
        </mc:AlternateContent>
      </w:r>
      <w:r>
        <w:rPr>
          <w:rFonts w:asciiTheme="minorEastAsia" w:hAnsiTheme="minorEastAsia" w:eastAsiaTheme="minorEastAsia" w:cstheme="minorEastAsia"/>
          <w:szCs w:val="21"/>
        </w:rPr>
        <mc:AlternateContent>
          <mc:Choice Requires="wps">
            <w:drawing>
              <wp:anchor distT="0" distB="0" distL="114300" distR="114300" simplePos="0" relativeHeight="251654144" behindDoc="0" locked="0" layoutInCell="1" allowOverlap="1">
                <wp:simplePos x="0" y="0"/>
                <wp:positionH relativeFrom="column">
                  <wp:posOffset>8890</wp:posOffset>
                </wp:positionH>
                <wp:positionV relativeFrom="paragraph">
                  <wp:posOffset>3175</wp:posOffset>
                </wp:positionV>
                <wp:extent cx="3095625" cy="1951355"/>
                <wp:effectExtent l="9525" t="9525" r="19050" b="20320"/>
                <wp:wrapNone/>
                <wp:docPr id="8" name="圆角矩形 5"/>
                <wp:cNvGraphicFramePr/>
                <a:graphic xmlns:a="http://schemas.openxmlformats.org/drawingml/2006/main">
                  <a:graphicData uri="http://schemas.microsoft.com/office/word/2010/wordprocessingShape">
                    <wps:wsp>
                      <wps:cNvSpPr/>
                      <wps:spPr>
                        <a:xfrm>
                          <a:off x="0" y="0"/>
                          <a:ext cx="3095625" cy="1951355"/>
                        </a:xfrm>
                        <a:prstGeom prst="roundRect">
                          <a:avLst>
                            <a:gd name="adj" fmla="val 2491"/>
                          </a:avLst>
                        </a:prstGeom>
                        <a:noFill/>
                        <a:ln w="19050" cap="flat" cmpd="thickThin">
                          <a:solidFill>
                            <a:srgbClr val="7F7F7F">
                              <a:lumMod val="50000"/>
                            </a:srgbClr>
                          </a:solidFill>
                          <a:prstDash val="solid"/>
                          <a:headEnd type="none" w="med" len="med"/>
                          <a:tailEnd type="none" w="med" len="med"/>
                        </a:ln>
                        <a:effectLst/>
                      </wps:spPr>
                      <wps:bodyPr anchor="ctr" upright="1"/>
                    </wps:wsp>
                  </a:graphicData>
                </a:graphic>
              </wp:anchor>
            </w:drawing>
          </mc:Choice>
          <mc:Fallback>
            <w:pict>
              <v:roundrect id="圆角矩形 5" o:spid="_x0000_s1026" o:spt="2" style="position:absolute;left:0pt;margin-left:0.7pt;margin-top:0.25pt;height:153.65pt;width:243.75pt;z-index:251654144;v-text-anchor:middle;mso-width-relative:page;mso-height-relative:page;" filled="f" stroked="t" coordsize="21600,21600" arcsize="0.0249074074074074" o:gfxdata="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8mnN0wAAAAYB&#10;AAAPAAAAAAAAAAEAIAAAACIAAABkcnMvZG93bnJldi54bWxQSwECFAAUAAAACACHTuJAHpI4wiAC&#10;AAAYBAAADgAAAAAAAAABACAAAAAiAQAAZHJzL2Uyb0RvYy54bWxQSwUGAAAAAAYABgBZAQAAtAUA&#10;AAAA&#10;">
                <v:fill on="f" focussize="0,0"/>
                <v:stroke weight="1.5pt" color="#404040" linestyle="thickThin" joinstyle="round"/>
                <v:imagedata o:title=""/>
                <o:lock v:ext="edit" aspectratio="f"/>
              </v:roundrect>
            </w:pict>
          </mc:Fallback>
        </mc:AlternateContent>
      </w:r>
    </w:p>
    <w:p>
      <w:pPr>
        <w:pStyle w:val="10"/>
        <w:spacing w:line="300" w:lineRule="auto"/>
        <w:jc w:val="center"/>
        <w:rPr>
          <w:rFonts w:asciiTheme="minorEastAsia" w:hAnsiTheme="minorEastAsia" w:eastAsiaTheme="minorEastAsia" w:cstheme="minorEastAsia"/>
          <w:szCs w:val="21"/>
        </w:rPr>
      </w:pPr>
    </w:p>
    <w:p>
      <w:pPr>
        <w:pStyle w:val="10"/>
        <w:spacing w:line="300" w:lineRule="auto"/>
        <w:rPr>
          <w:rFonts w:asciiTheme="minorEastAsia" w:hAnsiTheme="minorEastAsia" w:eastAsiaTheme="minorEastAsia" w:cstheme="minorEastAsia"/>
          <w:szCs w:val="21"/>
        </w:rPr>
      </w:pPr>
    </w:p>
    <w:p>
      <w:pPr>
        <w:pStyle w:val="10"/>
        <w:spacing w:line="300" w:lineRule="auto"/>
        <w:jc w:val="center"/>
        <w:rPr>
          <w:rFonts w:asciiTheme="minorEastAsia" w:hAnsiTheme="minorEastAsia" w:eastAsiaTheme="minorEastAsia" w:cstheme="minorEastAsia"/>
          <w:szCs w:val="21"/>
        </w:rPr>
      </w:pPr>
    </w:p>
    <w:p>
      <w:pPr>
        <w:pStyle w:val="10"/>
        <w:spacing w:line="300" w:lineRule="auto"/>
        <w:rPr>
          <w:rFonts w:asciiTheme="minorEastAsia" w:hAnsiTheme="minorEastAsia" w:eastAsiaTheme="minorEastAsia" w:cstheme="minorEastAsia"/>
          <w:szCs w:val="21"/>
        </w:rPr>
      </w:pPr>
    </w:p>
    <w:p>
      <w:pPr>
        <w:pStyle w:val="10"/>
        <w:spacing w:line="340" w:lineRule="exact"/>
        <w:rPr>
          <w:rFonts w:asciiTheme="minorEastAsia" w:hAnsiTheme="minorEastAsia" w:eastAsiaTheme="minorEastAsia" w:cstheme="minorEastAsia"/>
          <w:szCs w:val="21"/>
        </w:rPr>
      </w:pPr>
    </w:p>
    <w:p>
      <w:pPr>
        <w:pStyle w:val="10"/>
        <w:spacing w:line="340" w:lineRule="exact"/>
        <w:rPr>
          <w:rFonts w:asciiTheme="minorEastAsia" w:hAnsiTheme="minorEastAsia" w:eastAsiaTheme="minorEastAsia" w:cstheme="minorEastAsia"/>
          <w:szCs w:val="21"/>
        </w:rPr>
      </w:pPr>
    </w:p>
    <w:p>
      <w:pPr>
        <w:pStyle w:val="10"/>
        <w:spacing w:line="340" w:lineRule="exact"/>
        <w:rPr>
          <w:rFonts w:asciiTheme="minorEastAsia" w:hAnsiTheme="minorEastAsia" w:eastAsiaTheme="minorEastAsia" w:cstheme="minorEastAsia"/>
          <w:szCs w:val="21"/>
        </w:rPr>
      </w:pPr>
    </w:p>
    <w:p>
      <w:pPr>
        <w:pStyle w:val="10"/>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被授权人(响应人授权代表)（签字）：                      年     月    日</w:t>
      </w:r>
    </w:p>
    <w:p>
      <w:pPr>
        <w:spacing w:before="240"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响应人全称：</w:t>
      </w:r>
      <w:r>
        <w:rPr>
          <w:rFonts w:hint="eastAsia" w:asciiTheme="minorEastAsia" w:hAnsiTheme="minorEastAsia" w:eastAsiaTheme="minorEastAsia" w:cstheme="minorEastAsia"/>
          <w:szCs w:val="21"/>
          <w:u w:val="single"/>
        </w:rPr>
        <w:t xml:space="preserve">                                            （加盖公章） </w:t>
      </w:r>
    </w:p>
    <w:p>
      <w:pPr>
        <w:spacing w:line="3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u w:val="single"/>
        </w:rPr>
        <w:t xml:space="preserve">                                                         </w:t>
      </w:r>
    </w:p>
    <w:p>
      <w:pPr>
        <w:snapToGrid w:val="0"/>
        <w:spacing w:before="240" w:line="360" w:lineRule="auto"/>
        <w:outlineLvl w:val="1"/>
        <w:rPr>
          <w:rFonts w:asciiTheme="minorEastAsia" w:hAnsiTheme="minorEastAsia" w:eastAsiaTheme="minorEastAsia" w:cstheme="minorEastAsia"/>
          <w:b/>
          <w:szCs w:val="21"/>
        </w:rPr>
      </w:pPr>
      <w:bookmarkStart w:id="388" w:name="_Toc533236397"/>
      <w:bookmarkStart w:id="389" w:name="_Toc2341754"/>
      <w:bookmarkStart w:id="390" w:name="_Toc2341667"/>
      <w:bookmarkStart w:id="391" w:name="_Toc2341347"/>
      <w:bookmarkStart w:id="392" w:name="_Toc2341916"/>
      <w:bookmarkStart w:id="393" w:name="_Toc245819135"/>
      <w:bookmarkStart w:id="394" w:name="_Toc334797772"/>
      <w:r>
        <w:rPr>
          <w:rFonts w:hint="eastAsia" w:asciiTheme="minorEastAsia" w:hAnsiTheme="minorEastAsia" w:eastAsiaTheme="minorEastAsia" w:cstheme="minorEastAsia"/>
          <w:b/>
          <w:szCs w:val="21"/>
        </w:rPr>
        <w:br w:type="page"/>
      </w:r>
    </w:p>
    <w:bookmarkEnd w:id="388"/>
    <w:bookmarkEnd w:id="389"/>
    <w:bookmarkEnd w:id="390"/>
    <w:bookmarkEnd w:id="391"/>
    <w:bookmarkEnd w:id="392"/>
    <w:bookmarkEnd w:id="393"/>
    <w:bookmarkEnd w:id="394"/>
    <w:p>
      <w:pPr>
        <w:snapToGrid w:val="0"/>
        <w:spacing w:before="240" w:line="360" w:lineRule="auto"/>
        <w:outlineLvl w:val="1"/>
        <w:rPr>
          <w:rFonts w:hint="eastAsia" w:asciiTheme="minorEastAsia" w:hAnsiTheme="minorEastAsia" w:eastAsiaTheme="minorEastAsia" w:cstheme="minorEastAsia"/>
          <w:bCs/>
          <w:sz w:val="24"/>
        </w:rPr>
      </w:pPr>
      <w:bookmarkStart w:id="395" w:name="_Toc533236398"/>
      <w:bookmarkStart w:id="396" w:name="_Toc2341348"/>
      <w:bookmarkStart w:id="397" w:name="_Toc2341668"/>
      <w:bookmarkStart w:id="398" w:name="_Toc2341917"/>
      <w:bookmarkStart w:id="399" w:name="_Toc2341755"/>
      <w:bookmarkStart w:id="400" w:name="_Toc28903"/>
      <w:bookmarkStart w:id="401" w:name="_Toc334797782"/>
      <w:bookmarkStart w:id="402" w:name="_Toc2592"/>
      <w:bookmarkStart w:id="403" w:name="_Toc31806"/>
      <w:bookmarkStart w:id="404" w:name="_Toc13816"/>
      <w:bookmarkStart w:id="405" w:name="_Toc32548_WPSOffice_Level1"/>
    </w:p>
    <w:p>
      <w:pPr>
        <w:snapToGrid w:val="0"/>
        <w:spacing w:before="240" w:line="360" w:lineRule="auto"/>
        <w:outlineLvl w:val="1"/>
        <w:rPr>
          <w:rFonts w:asciiTheme="minorEastAsia" w:hAnsiTheme="minorEastAsia" w:eastAsiaTheme="minorEastAsia" w:cstheme="minorEastAsia"/>
          <w:bCs/>
          <w:sz w:val="24"/>
        </w:rPr>
      </w:pPr>
      <w:bookmarkStart w:id="406" w:name="_Toc14835"/>
      <w:r>
        <w:rPr>
          <w:rFonts w:hint="eastAsia" w:asciiTheme="minorEastAsia" w:hAnsiTheme="minorEastAsia" w:eastAsiaTheme="minorEastAsia" w:cstheme="minorEastAsia"/>
          <w:bCs/>
          <w:sz w:val="24"/>
        </w:rPr>
        <w:t>格式</w:t>
      </w:r>
      <w:r>
        <w:rPr>
          <w:rFonts w:hint="eastAsia" w:asciiTheme="minorEastAsia" w:hAnsiTheme="minorEastAsia" w:eastAsiaTheme="minorEastAsia" w:cstheme="minorEastAsia"/>
          <w:bCs/>
          <w:sz w:val="24"/>
          <w:lang w:val="en-US" w:eastAsia="zh-CN"/>
        </w:rPr>
        <w:t>3</w:t>
      </w:r>
      <w:r>
        <w:rPr>
          <w:rFonts w:hint="eastAsia" w:asciiTheme="minorEastAsia" w:hAnsiTheme="minorEastAsia" w:eastAsiaTheme="minorEastAsia" w:cstheme="minorEastAsia"/>
          <w:bCs/>
          <w:sz w:val="24"/>
        </w:rPr>
        <w:t>：实质性条款响应一览表</w:t>
      </w:r>
      <w:bookmarkEnd w:id="395"/>
      <w:bookmarkEnd w:id="396"/>
      <w:bookmarkEnd w:id="397"/>
      <w:bookmarkEnd w:id="398"/>
      <w:bookmarkEnd w:id="399"/>
      <w:bookmarkEnd w:id="400"/>
      <w:bookmarkEnd w:id="401"/>
      <w:bookmarkEnd w:id="402"/>
      <w:bookmarkEnd w:id="403"/>
      <w:bookmarkEnd w:id="404"/>
      <w:bookmarkEnd w:id="405"/>
      <w:bookmarkEnd w:id="406"/>
    </w:p>
    <w:p>
      <w:pPr>
        <w:snapToGrid w:val="0"/>
        <w:spacing w:before="240"/>
        <w:jc w:val="center"/>
        <w:rPr>
          <w:rFonts w:ascii="黑体" w:hAnsi="黑体" w:eastAsia="黑体" w:cs="黑体"/>
          <w:bCs/>
          <w:sz w:val="32"/>
          <w:szCs w:val="32"/>
        </w:rPr>
      </w:pPr>
      <w:bookmarkStart w:id="407" w:name="_Toc25098"/>
      <w:bookmarkStart w:id="408" w:name="_Toc32412"/>
      <w:bookmarkStart w:id="409" w:name="_Toc13658"/>
      <w:r>
        <w:rPr>
          <w:rFonts w:hint="eastAsia" w:ascii="黑体" w:hAnsi="黑体" w:eastAsia="黑体" w:cs="黑体"/>
          <w:bCs/>
          <w:sz w:val="32"/>
          <w:szCs w:val="32"/>
        </w:rPr>
        <w:t>实质性条款响应一览表</w:t>
      </w:r>
      <w:bookmarkEnd w:id="407"/>
      <w:bookmarkEnd w:id="408"/>
      <w:bookmarkEnd w:id="409"/>
    </w:p>
    <w:p>
      <w:pPr>
        <w:spacing w:line="360" w:lineRule="auto"/>
        <w:rPr>
          <w:rFonts w:asciiTheme="minorEastAsia" w:hAnsiTheme="minorEastAsia" w:eastAsiaTheme="minorEastAsia" w:cstheme="minorEastAsia"/>
          <w:kern w:val="28"/>
          <w:szCs w:val="21"/>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kern w:val="28"/>
          <w:szCs w:val="21"/>
        </w:rPr>
        <w:t>：</w:t>
      </w:r>
      <w:r>
        <w:rPr>
          <w:rFonts w:hint="eastAsia" w:asciiTheme="minorEastAsia" w:hAnsiTheme="minorEastAsia" w:eastAsiaTheme="minorEastAsia" w:cstheme="minorEastAsia"/>
          <w:kern w:val="28"/>
          <w:szCs w:val="21"/>
          <w:u w:val="single"/>
        </w:rPr>
        <w:t xml:space="preserve">                                                           </w:t>
      </w:r>
    </w:p>
    <w:p>
      <w:pPr>
        <w:spacing w:after="24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项目编号：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bCs/>
          <w:szCs w:val="21"/>
          <w:u w:val="single"/>
        </w:rPr>
        <w:t xml:space="preserve">                        </w:t>
      </w:r>
      <w:r>
        <w:rPr>
          <w:rFonts w:hint="eastAsia" w:asciiTheme="minorEastAsia" w:hAnsiTheme="minorEastAsia" w:eastAsiaTheme="minorEastAsia" w:cstheme="minorEastAsia"/>
          <w:bCs/>
          <w:szCs w:val="21"/>
        </w:rPr>
        <w:t xml:space="preserve"> 志愿号：</w:t>
      </w:r>
      <w:r>
        <w:rPr>
          <w:rFonts w:hint="eastAsia" w:asciiTheme="minorEastAsia" w:hAnsiTheme="minorEastAsia" w:eastAsiaTheme="minorEastAsia" w:cstheme="minorEastAsia"/>
          <w:bCs/>
          <w:szCs w:val="21"/>
          <w:u w:val="single"/>
        </w:rPr>
        <w:t xml:space="preserve">                         </w:t>
      </w:r>
    </w:p>
    <w:tbl>
      <w:tblPr>
        <w:tblStyle w:val="21"/>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252"/>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851" w:type="dxa"/>
            <w:tcBorders>
              <w:top w:val="single" w:color="auto" w:sz="12" w:space="0"/>
              <w:left w:val="single" w:color="auto" w:sz="12" w:space="0"/>
            </w:tcBorders>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4252" w:type="dxa"/>
            <w:tcBorders>
              <w:top w:val="single" w:color="auto" w:sz="12" w:space="0"/>
              <w:left w:val="single" w:color="000000" w:sz="4" w:space="0"/>
            </w:tcBorders>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带“</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
                <w:szCs w:val="21"/>
              </w:rPr>
              <w:t>”号响应内容</w:t>
            </w:r>
          </w:p>
        </w:tc>
        <w:tc>
          <w:tcPr>
            <w:tcW w:w="1985" w:type="dxa"/>
            <w:tcBorders>
              <w:top w:val="single" w:color="auto" w:sz="12" w:space="0"/>
            </w:tcBorders>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是否响应</w:t>
            </w:r>
          </w:p>
        </w:tc>
        <w:tc>
          <w:tcPr>
            <w:tcW w:w="1559" w:type="dxa"/>
            <w:tcBorders>
              <w:top w:val="single" w:color="auto" w:sz="12" w:space="0"/>
              <w:right w:val="single" w:color="auto" w:sz="12" w:space="0"/>
            </w:tcBorders>
            <w:shd w:val="clear" w:color="auto" w:fill="D0CECE" w:themeFill="background2" w:themeFillShade="E6"/>
            <w:vAlign w:val="center"/>
          </w:tcPr>
          <w:p>
            <w:pPr>
              <w:snapToGrid w:val="0"/>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响应页码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851" w:type="dxa"/>
            <w:tcBorders>
              <w:left w:val="single" w:color="auto" w:sz="12" w:space="0"/>
            </w:tcBorders>
            <w:vAlign w:val="center"/>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252" w:type="dxa"/>
            <w:tcBorders>
              <w:left w:val="single" w:color="000000" w:sz="4" w:space="0"/>
            </w:tcBorders>
            <w:vAlign w:val="center"/>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合格响应人资格要求，响应文件格式带“</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szCs w:val="21"/>
              </w:rPr>
              <w:t>”内容</w:t>
            </w:r>
          </w:p>
        </w:tc>
        <w:tc>
          <w:tcPr>
            <w:tcW w:w="1985" w:type="dxa"/>
            <w:vAlign w:val="center"/>
          </w:tcPr>
          <w:p>
            <w:pPr>
              <w:spacing w:line="240" w:lineRule="exact"/>
              <w:jc w:val="center"/>
              <w:rPr>
                <w:rFonts w:asciiTheme="minorEastAsia" w:hAnsiTheme="minorEastAsia" w:eastAsiaTheme="minorEastAsia" w:cstheme="minorEastAsia"/>
                <w:szCs w:val="21"/>
              </w:rPr>
            </w:pPr>
          </w:p>
        </w:tc>
        <w:tc>
          <w:tcPr>
            <w:tcW w:w="1559" w:type="dxa"/>
            <w:tcBorders>
              <w:right w:val="single" w:color="auto" w:sz="12" w:space="0"/>
            </w:tcBorders>
            <w:vAlign w:val="center"/>
          </w:tcPr>
          <w:p>
            <w:pPr>
              <w:spacing w:line="240" w:lineRule="exact"/>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851" w:type="dxa"/>
            <w:tcBorders>
              <w:left w:val="single" w:color="auto" w:sz="12" w:space="0"/>
            </w:tcBorders>
            <w:vAlign w:val="center"/>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252" w:type="dxa"/>
            <w:tcBorders>
              <w:left w:val="single" w:color="000000" w:sz="4" w:space="0"/>
            </w:tcBorders>
            <w:vAlign w:val="center"/>
          </w:tcPr>
          <w:p>
            <w:pPr>
              <w:spacing w:line="240" w:lineRule="exact"/>
              <w:jc w:val="center"/>
              <w:rPr>
                <w:rFonts w:asciiTheme="minorEastAsia" w:hAnsiTheme="minorEastAsia" w:eastAsiaTheme="minorEastAsia" w:cstheme="minorEastAsia"/>
                <w:szCs w:val="21"/>
              </w:rPr>
            </w:pPr>
          </w:p>
        </w:tc>
        <w:tc>
          <w:tcPr>
            <w:tcW w:w="1985" w:type="dxa"/>
            <w:vAlign w:val="center"/>
          </w:tcPr>
          <w:p>
            <w:pPr>
              <w:spacing w:line="240" w:lineRule="exact"/>
              <w:jc w:val="center"/>
              <w:rPr>
                <w:rFonts w:asciiTheme="minorEastAsia" w:hAnsiTheme="minorEastAsia" w:eastAsiaTheme="minorEastAsia" w:cstheme="minorEastAsia"/>
                <w:szCs w:val="21"/>
              </w:rPr>
            </w:pPr>
          </w:p>
        </w:tc>
        <w:tc>
          <w:tcPr>
            <w:tcW w:w="1559" w:type="dxa"/>
            <w:tcBorders>
              <w:right w:val="single" w:color="auto" w:sz="12" w:space="0"/>
            </w:tcBorders>
            <w:vAlign w:val="center"/>
          </w:tcPr>
          <w:p>
            <w:pPr>
              <w:spacing w:line="240" w:lineRule="exact"/>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851" w:type="dxa"/>
            <w:tcBorders>
              <w:left w:val="single" w:color="auto" w:sz="12" w:space="0"/>
            </w:tcBorders>
            <w:vAlign w:val="center"/>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252" w:type="dxa"/>
            <w:tcBorders>
              <w:left w:val="single" w:color="000000" w:sz="4" w:space="0"/>
            </w:tcBorders>
            <w:vAlign w:val="center"/>
          </w:tcPr>
          <w:p>
            <w:pPr>
              <w:spacing w:line="240" w:lineRule="exact"/>
              <w:jc w:val="center"/>
              <w:rPr>
                <w:rFonts w:asciiTheme="minorEastAsia" w:hAnsiTheme="minorEastAsia" w:eastAsiaTheme="minorEastAsia" w:cstheme="minorEastAsia"/>
                <w:szCs w:val="21"/>
              </w:rPr>
            </w:pPr>
          </w:p>
        </w:tc>
        <w:tc>
          <w:tcPr>
            <w:tcW w:w="1985" w:type="dxa"/>
            <w:vAlign w:val="center"/>
          </w:tcPr>
          <w:p>
            <w:pPr>
              <w:spacing w:line="240" w:lineRule="exact"/>
              <w:jc w:val="center"/>
              <w:rPr>
                <w:rFonts w:asciiTheme="minorEastAsia" w:hAnsiTheme="minorEastAsia" w:eastAsiaTheme="minorEastAsia" w:cstheme="minorEastAsia"/>
                <w:szCs w:val="21"/>
              </w:rPr>
            </w:pPr>
          </w:p>
        </w:tc>
        <w:tc>
          <w:tcPr>
            <w:tcW w:w="1559" w:type="dxa"/>
            <w:tcBorders>
              <w:right w:val="single" w:color="auto" w:sz="12" w:space="0"/>
            </w:tcBorders>
            <w:vAlign w:val="center"/>
          </w:tcPr>
          <w:p>
            <w:pPr>
              <w:spacing w:line="240" w:lineRule="exact"/>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51" w:type="dxa"/>
            <w:tcBorders>
              <w:left w:val="single" w:color="auto" w:sz="12" w:space="0"/>
              <w:bottom w:val="single" w:color="auto" w:sz="12" w:space="0"/>
            </w:tcBorders>
            <w:vAlign w:val="center"/>
          </w:tcPr>
          <w:p>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4252" w:type="dxa"/>
            <w:tcBorders>
              <w:left w:val="single" w:color="000000" w:sz="4" w:space="0"/>
              <w:bottom w:val="single" w:color="auto" w:sz="12" w:space="0"/>
            </w:tcBorders>
            <w:vAlign w:val="center"/>
          </w:tcPr>
          <w:p>
            <w:pPr>
              <w:spacing w:line="240" w:lineRule="exact"/>
              <w:jc w:val="center"/>
              <w:rPr>
                <w:rFonts w:asciiTheme="minorEastAsia" w:hAnsiTheme="minorEastAsia" w:eastAsiaTheme="minorEastAsia" w:cstheme="minorEastAsia"/>
                <w:szCs w:val="21"/>
              </w:rPr>
            </w:pPr>
          </w:p>
        </w:tc>
        <w:tc>
          <w:tcPr>
            <w:tcW w:w="1985" w:type="dxa"/>
            <w:tcBorders>
              <w:bottom w:val="single" w:color="auto" w:sz="12" w:space="0"/>
            </w:tcBorders>
            <w:vAlign w:val="center"/>
          </w:tcPr>
          <w:p>
            <w:pPr>
              <w:spacing w:line="240" w:lineRule="exact"/>
              <w:ind w:left="902"/>
              <w:jc w:val="center"/>
              <w:rPr>
                <w:rFonts w:asciiTheme="minorEastAsia" w:hAnsiTheme="minorEastAsia" w:eastAsiaTheme="minorEastAsia" w:cstheme="minorEastAsia"/>
                <w:szCs w:val="21"/>
              </w:rPr>
            </w:pPr>
          </w:p>
        </w:tc>
        <w:tc>
          <w:tcPr>
            <w:tcW w:w="1559" w:type="dxa"/>
            <w:tcBorders>
              <w:bottom w:val="single" w:color="auto" w:sz="12" w:space="0"/>
              <w:right w:val="single" w:color="auto" w:sz="12" w:space="0"/>
            </w:tcBorders>
            <w:vAlign w:val="center"/>
          </w:tcPr>
          <w:p>
            <w:pPr>
              <w:spacing w:line="240" w:lineRule="exact"/>
              <w:ind w:left="902"/>
              <w:jc w:val="center"/>
              <w:rPr>
                <w:rFonts w:asciiTheme="minorEastAsia" w:hAnsiTheme="minorEastAsia" w:eastAsiaTheme="minorEastAsia" w:cstheme="minorEastAsia"/>
                <w:szCs w:val="21"/>
              </w:rPr>
            </w:pPr>
          </w:p>
        </w:tc>
      </w:tr>
    </w:tbl>
    <w:p>
      <w:pPr>
        <w:spacing w:before="240" w:line="36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说明：</w:t>
      </w:r>
      <w:r>
        <w:rPr>
          <w:rFonts w:hint="eastAsia" w:asciiTheme="minorEastAsia" w:hAnsiTheme="minorEastAsia" w:eastAsiaTheme="minorEastAsia" w:cstheme="minorEastAsia"/>
          <w:bCs/>
          <w:szCs w:val="21"/>
        </w:rPr>
        <w:t>a. 响应人必须对应采购文件的 “★”号条款逐条应答并按要求填写下表。</w:t>
      </w:r>
    </w:p>
    <w:p>
      <w:pPr>
        <w:spacing w:line="360" w:lineRule="auto"/>
        <w:ind w:left="1042" w:leftChars="349" w:hanging="309" w:hangingChars="147"/>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b. 对完全响应的条目在下表相应列中选注“○”。</w:t>
      </w:r>
    </w:p>
    <w:p>
      <w:pPr>
        <w:spacing w:line="360" w:lineRule="auto"/>
        <w:ind w:left="937" w:leftChars="349" w:hanging="204" w:hangingChars="97"/>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c. 本表“是否响应”、“响应页码”不填写内容的视为完全响应。</w:t>
      </w:r>
    </w:p>
    <w:p>
      <w:pPr>
        <w:spacing w:line="360" w:lineRule="auto"/>
        <w:ind w:left="937" w:leftChars="349" w:hanging="204" w:hangingChars="97"/>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d.项目编号和志愿号可不填写</w:t>
      </w:r>
    </w:p>
    <w:p>
      <w:pPr>
        <w:spacing w:line="480" w:lineRule="auto"/>
        <w:rPr>
          <w:rFonts w:asciiTheme="minorEastAsia" w:hAnsiTheme="minorEastAsia" w:eastAsiaTheme="minorEastAsia" w:cstheme="minorEastAsia"/>
          <w:szCs w:val="21"/>
        </w:rPr>
      </w:pPr>
    </w:p>
    <w:p>
      <w:pPr>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响应人全称:</w:t>
      </w:r>
      <w:r>
        <w:rPr>
          <w:rFonts w:hint="eastAsia" w:asciiTheme="minorEastAsia" w:hAnsiTheme="minorEastAsia" w:eastAsiaTheme="minorEastAsia" w:cstheme="minorEastAsia"/>
          <w:szCs w:val="21"/>
          <w:u w:val="single"/>
        </w:rPr>
        <w:t xml:space="preserve">                                              （加盖公章）</w:t>
      </w:r>
    </w:p>
    <w:p>
      <w:pPr>
        <w:tabs>
          <w:tab w:val="left" w:pos="4500"/>
        </w:tabs>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法定代表人或其响应人授权代表(签字)：                                 </w:t>
      </w:r>
    </w:p>
    <w:p>
      <w:pPr>
        <w:tabs>
          <w:tab w:val="left" w:pos="4500"/>
        </w:tabs>
        <w:spacing w:line="60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spacing w:line="288" w:lineRule="auto"/>
        <w:rPr>
          <w:rFonts w:asciiTheme="minorEastAsia" w:hAnsiTheme="minorEastAsia" w:eastAsiaTheme="minorEastAsia" w:cstheme="minorEastAsia"/>
          <w:szCs w:val="21"/>
        </w:rPr>
      </w:pPr>
    </w:p>
    <w:p>
      <w:pPr>
        <w:spacing w:line="288" w:lineRule="auto"/>
        <w:rPr>
          <w:rFonts w:asciiTheme="minorEastAsia" w:hAnsiTheme="minorEastAsia" w:eastAsiaTheme="minorEastAsia" w:cstheme="minorEastAsia"/>
          <w:szCs w:val="21"/>
        </w:rPr>
      </w:pPr>
    </w:p>
    <w:p>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snapToGrid w:val="0"/>
        <w:spacing w:before="240"/>
        <w:outlineLvl w:val="1"/>
        <w:rPr>
          <w:rFonts w:hint="eastAsia" w:asciiTheme="minorEastAsia" w:hAnsiTheme="minorEastAsia" w:eastAsiaTheme="minorEastAsia" w:cstheme="minorEastAsia"/>
          <w:bCs/>
          <w:sz w:val="24"/>
        </w:rPr>
      </w:pPr>
      <w:bookmarkStart w:id="410" w:name="_Toc4478"/>
      <w:bookmarkStart w:id="411" w:name="_Toc29319"/>
      <w:bookmarkStart w:id="412" w:name="_Toc31784"/>
      <w:bookmarkStart w:id="413" w:name="_Toc20865"/>
      <w:bookmarkStart w:id="414" w:name="_Toc2212_WPSOffice_Level1"/>
    </w:p>
    <w:p>
      <w:pPr>
        <w:snapToGrid w:val="0"/>
        <w:spacing w:before="240"/>
        <w:outlineLvl w:val="1"/>
        <w:rPr>
          <w:rFonts w:asciiTheme="minorEastAsia" w:hAnsiTheme="minorEastAsia" w:eastAsiaTheme="minorEastAsia" w:cstheme="minorEastAsia"/>
          <w:bCs/>
          <w:sz w:val="24"/>
        </w:rPr>
      </w:pPr>
      <w:bookmarkStart w:id="415" w:name="_Toc19970"/>
      <w:r>
        <w:rPr>
          <w:rFonts w:hint="eastAsia" w:asciiTheme="minorEastAsia" w:hAnsiTheme="minorEastAsia" w:eastAsiaTheme="minorEastAsia" w:cstheme="minorEastAsia"/>
          <w:bCs/>
          <w:sz w:val="24"/>
        </w:rPr>
        <w:t>格式</w:t>
      </w:r>
      <w:bookmarkStart w:id="416" w:name="_Toc245819136"/>
      <w:r>
        <w:rPr>
          <w:rFonts w:hint="eastAsia" w:asciiTheme="minorEastAsia" w:hAnsiTheme="minorEastAsia" w:eastAsiaTheme="minorEastAsia" w:cstheme="minorEastAsia"/>
          <w:bCs/>
          <w:sz w:val="24"/>
          <w:lang w:val="en-US" w:eastAsia="zh-CN"/>
        </w:rPr>
        <w:t>4</w:t>
      </w:r>
      <w:r>
        <w:rPr>
          <w:rFonts w:hint="eastAsia" w:asciiTheme="minorEastAsia" w:hAnsiTheme="minorEastAsia" w:eastAsiaTheme="minorEastAsia" w:cstheme="minorEastAsia"/>
          <w:bCs/>
          <w:sz w:val="24"/>
        </w:rPr>
        <w:t>：</w:t>
      </w:r>
      <w:bookmarkEnd w:id="410"/>
      <w:bookmarkEnd w:id="411"/>
      <w:bookmarkEnd w:id="412"/>
      <w:bookmarkEnd w:id="413"/>
      <w:bookmarkEnd w:id="414"/>
      <w:r>
        <w:rPr>
          <w:rFonts w:hint="eastAsia" w:asciiTheme="minorEastAsia" w:hAnsiTheme="minorEastAsia" w:eastAsiaTheme="minorEastAsia" w:cstheme="minorEastAsia"/>
          <w:bCs/>
          <w:sz w:val="24"/>
        </w:rPr>
        <w:t>竞选货物的详细情况</w:t>
      </w:r>
      <w:bookmarkEnd w:id="415"/>
    </w:p>
    <w:bookmarkEnd w:id="416"/>
    <w:p>
      <w:pPr>
        <w:snapToGrid w:val="0"/>
        <w:spacing w:before="240"/>
        <w:jc w:val="center"/>
        <w:rPr>
          <w:rFonts w:hint="eastAsia" w:ascii="黑体" w:hAnsi="黑体" w:eastAsia="黑体" w:cs="黑体"/>
          <w:bCs/>
          <w:sz w:val="32"/>
          <w:szCs w:val="32"/>
        </w:rPr>
      </w:pPr>
    </w:p>
    <w:p>
      <w:pPr>
        <w:snapToGrid w:val="0"/>
        <w:spacing w:before="240"/>
        <w:jc w:val="center"/>
        <w:rPr>
          <w:rFonts w:ascii="黑体" w:hAnsi="黑体" w:eastAsia="黑体" w:cs="黑体"/>
          <w:bCs/>
          <w:sz w:val="32"/>
          <w:szCs w:val="32"/>
        </w:rPr>
      </w:pPr>
      <w:r>
        <w:rPr>
          <w:rFonts w:hint="eastAsia" w:ascii="黑体" w:hAnsi="黑体" w:eastAsia="黑体" w:cs="黑体"/>
          <w:bCs/>
          <w:sz w:val="32"/>
          <w:szCs w:val="32"/>
        </w:rPr>
        <w:t>竞选货物的详细情况</w:t>
      </w:r>
    </w:p>
    <w:p>
      <w:pPr>
        <w:pStyle w:val="2"/>
      </w:pPr>
    </w:p>
    <w:p>
      <w:pPr>
        <w:spacing w:line="360" w:lineRule="auto"/>
        <w:jc w:val="center"/>
        <w:rPr>
          <w:rFonts w:ascii="宋体" w:hAnsi="宋体"/>
          <w:b/>
          <w:i/>
          <w:sz w:val="24"/>
        </w:rPr>
      </w:pPr>
      <w:r>
        <w:rPr>
          <w:rFonts w:hint="eastAsia" w:ascii="宋体" w:hAnsi="宋体"/>
          <w:b/>
          <w:i/>
          <w:sz w:val="24"/>
        </w:rPr>
        <w:t>（附相关证明资料/产品宣传彩页）</w:t>
      </w:r>
    </w:p>
    <w:p>
      <w:pPr>
        <w:adjustRightInd w:val="0"/>
        <w:snapToGrid w:val="0"/>
        <w:spacing w:line="360" w:lineRule="auto"/>
        <w:rPr>
          <w:rFonts w:ascii="宋体" w:hAnsi="宋体"/>
          <w:b/>
        </w:rPr>
      </w:pPr>
      <w:r>
        <w:rPr>
          <w:rFonts w:hint="eastAsia" w:ascii="宋体" w:hAnsi="宋体"/>
          <w:b/>
        </w:rPr>
        <w:t>主要内容应包括但不限于以下内容（格式自定）：</w:t>
      </w:r>
    </w:p>
    <w:p>
      <w:pPr>
        <w:numPr>
          <w:ilvl w:val="0"/>
          <w:numId w:val="22"/>
        </w:numPr>
        <w:adjustRightInd w:val="0"/>
        <w:snapToGrid w:val="0"/>
        <w:spacing w:line="360" w:lineRule="auto"/>
        <w:rPr>
          <w:rFonts w:ascii="宋体" w:hAnsi="宋体"/>
        </w:rPr>
      </w:pPr>
      <w:r>
        <w:rPr>
          <w:rFonts w:hint="eastAsia" w:ascii="宋体" w:hAnsi="宋体"/>
        </w:rPr>
        <w:t>货物品牌、型号。</w:t>
      </w:r>
    </w:p>
    <w:p>
      <w:pPr>
        <w:numPr>
          <w:ilvl w:val="0"/>
          <w:numId w:val="22"/>
        </w:numPr>
        <w:adjustRightInd w:val="0"/>
        <w:snapToGrid w:val="0"/>
        <w:spacing w:line="360" w:lineRule="auto"/>
        <w:rPr>
          <w:rFonts w:ascii="宋体" w:hAnsi="宋体"/>
        </w:rPr>
      </w:pPr>
      <w:r>
        <w:rPr>
          <w:rFonts w:hint="eastAsia" w:ascii="宋体" w:hAnsi="宋体"/>
        </w:rPr>
        <w:t>货物技术参数、性能及配件。</w:t>
      </w:r>
    </w:p>
    <w:p>
      <w:pPr>
        <w:numPr>
          <w:ilvl w:val="0"/>
          <w:numId w:val="22"/>
        </w:numPr>
        <w:adjustRightInd w:val="0"/>
        <w:snapToGrid w:val="0"/>
        <w:spacing w:line="360" w:lineRule="auto"/>
        <w:rPr>
          <w:rFonts w:ascii="宋体" w:hAnsi="宋体"/>
        </w:rPr>
      </w:pPr>
      <w:r>
        <w:rPr>
          <w:rFonts w:hint="eastAsia"/>
        </w:rPr>
        <w:t>竞选货物</w:t>
      </w:r>
      <w:r>
        <w:t>的质量标准、检测标准、测试手段</w:t>
      </w:r>
      <w:r>
        <w:rPr>
          <w:rFonts w:hint="eastAsia" w:ascii="宋体" w:hAnsi="宋体"/>
        </w:rPr>
        <w:t>。</w:t>
      </w:r>
    </w:p>
    <w:p>
      <w:pPr>
        <w:numPr>
          <w:ilvl w:val="0"/>
          <w:numId w:val="22"/>
        </w:numPr>
        <w:adjustRightInd w:val="0"/>
        <w:snapToGrid w:val="0"/>
        <w:spacing w:line="360" w:lineRule="auto"/>
        <w:rPr>
          <w:rFonts w:ascii="宋体" w:hAnsi="宋体"/>
        </w:rPr>
      </w:pPr>
      <w:r>
        <w:rPr>
          <w:rFonts w:hint="eastAsia"/>
        </w:rPr>
        <w:t>竞选货物主要备品备件、易损件、专用工具等配置国内提供情况说明。</w:t>
      </w:r>
    </w:p>
    <w:p>
      <w:pPr>
        <w:numPr>
          <w:ilvl w:val="0"/>
          <w:numId w:val="22"/>
        </w:numPr>
        <w:adjustRightInd w:val="0"/>
        <w:snapToGrid w:val="0"/>
        <w:spacing w:line="360" w:lineRule="auto"/>
        <w:rPr>
          <w:rFonts w:ascii="宋体" w:hAnsi="宋体"/>
        </w:rPr>
      </w:pPr>
      <w:r>
        <w:rPr>
          <w:rFonts w:hint="eastAsia" w:ascii="宋体" w:hAnsi="宋体"/>
        </w:rPr>
        <w:t>竞选人认为对竞选有利的其他资料。</w:t>
      </w:r>
    </w:p>
    <w:p>
      <w:pPr>
        <w:spacing w:line="400" w:lineRule="exact"/>
        <w:rPr>
          <w:rFonts w:ascii="宋体" w:hAnsi="宋体"/>
          <w:b/>
          <w:bCs/>
          <w:szCs w:val="21"/>
        </w:rPr>
      </w:pPr>
    </w:p>
    <w:p>
      <w:pPr>
        <w:spacing w:line="400" w:lineRule="exact"/>
        <w:rPr>
          <w:rFonts w:ascii="宋体" w:hAnsi="宋体"/>
          <w:b/>
          <w:bCs/>
          <w:szCs w:val="21"/>
        </w:rPr>
      </w:pPr>
    </w:p>
    <w:p>
      <w:pPr>
        <w:spacing w:line="400" w:lineRule="exact"/>
        <w:rPr>
          <w:rFonts w:ascii="宋体" w:hAnsi="宋体"/>
          <w:b/>
          <w:bCs/>
          <w:szCs w:val="21"/>
        </w:rPr>
      </w:pPr>
    </w:p>
    <w:p>
      <w:pPr>
        <w:spacing w:line="400" w:lineRule="exact"/>
        <w:rPr>
          <w:rFonts w:ascii="宋体" w:hAnsi="宋体"/>
          <w:b/>
          <w:bCs/>
          <w:szCs w:val="21"/>
        </w:rPr>
      </w:pPr>
    </w:p>
    <w:p>
      <w:pPr>
        <w:spacing w:line="400" w:lineRule="exact"/>
        <w:rPr>
          <w:rFonts w:ascii="宋体" w:hAnsi="宋体"/>
          <w:b/>
          <w:bCs/>
          <w:szCs w:val="21"/>
        </w:rPr>
      </w:pPr>
    </w:p>
    <w:p>
      <w:pPr>
        <w:spacing w:line="400" w:lineRule="exact"/>
        <w:rPr>
          <w:rFonts w:ascii="宋体" w:hAnsi="宋体"/>
          <w:b/>
          <w:bCs/>
          <w:szCs w:val="21"/>
        </w:rPr>
      </w:pPr>
    </w:p>
    <w:p>
      <w:pPr>
        <w:spacing w:line="400" w:lineRule="exact"/>
        <w:rPr>
          <w:rFonts w:ascii="宋体" w:hAnsi="宋体"/>
          <w:b/>
          <w:bCs/>
          <w:szCs w:val="21"/>
        </w:rPr>
      </w:pPr>
    </w:p>
    <w:p>
      <w:pPr>
        <w:spacing w:line="400" w:lineRule="exact"/>
        <w:rPr>
          <w:rFonts w:ascii="宋体" w:hAnsi="宋体"/>
          <w:b/>
          <w:bCs/>
          <w:szCs w:val="21"/>
        </w:rPr>
      </w:pPr>
    </w:p>
    <w:p>
      <w:pPr>
        <w:spacing w:line="400" w:lineRule="exact"/>
        <w:rPr>
          <w:rFonts w:ascii="宋体" w:hAnsi="宋体"/>
          <w:b/>
          <w:bCs/>
          <w:szCs w:val="21"/>
        </w:rPr>
      </w:pPr>
    </w:p>
    <w:p>
      <w:pPr>
        <w:spacing w:line="400" w:lineRule="exact"/>
        <w:rPr>
          <w:rFonts w:ascii="宋体" w:hAnsi="宋体"/>
          <w:b/>
          <w:bCs/>
          <w:szCs w:val="21"/>
        </w:rPr>
      </w:pPr>
    </w:p>
    <w:p>
      <w:pPr>
        <w:spacing w:line="440" w:lineRule="exact"/>
        <w:rPr>
          <w:rFonts w:ascii="黑体" w:eastAsia="黑体"/>
          <w:bCs/>
          <w:sz w:val="28"/>
        </w:rPr>
      </w:pPr>
    </w:p>
    <w:p>
      <w:pPr>
        <w:spacing w:line="500" w:lineRule="exact"/>
        <w:rPr>
          <w:rFonts w:ascii="宋体" w:hAnsi="宋体"/>
          <w:color w:val="000000"/>
          <w:u w:val="single"/>
        </w:rPr>
      </w:pPr>
      <w:r>
        <w:rPr>
          <w:rFonts w:hint="eastAsia"/>
          <w:spacing w:val="4"/>
        </w:rPr>
        <w:t>竞选人名称（盖公章）：</w:t>
      </w:r>
      <w:r>
        <w:rPr>
          <w:rFonts w:hint="eastAsia"/>
          <w:spacing w:val="4"/>
          <w:u w:val="single"/>
        </w:rPr>
        <w:t xml:space="preserve">                             </w:t>
      </w:r>
    </w:p>
    <w:p>
      <w:pPr>
        <w:rPr>
          <w:spacing w:val="4"/>
        </w:rPr>
      </w:pPr>
    </w:p>
    <w:p>
      <w:pPr>
        <w:spacing w:line="520" w:lineRule="exact"/>
        <w:rPr>
          <w:spacing w:val="4"/>
          <w:u w:val="single"/>
        </w:rPr>
      </w:pPr>
      <w:r>
        <w:rPr>
          <w:rFonts w:hint="eastAsia" w:ascii="宋体"/>
        </w:rPr>
        <w:t>法定代表人或</w:t>
      </w:r>
      <w:r>
        <w:rPr>
          <w:rFonts w:hint="eastAsia" w:ascii="宋体" w:hAnsi="宋体"/>
        </w:rPr>
        <w:t>竞选人授权代表（签名或盖章）：</w:t>
      </w:r>
      <w:r>
        <w:rPr>
          <w:spacing w:val="4"/>
          <w:u w:val="single"/>
        </w:rPr>
        <w:t xml:space="preserve">             </w:t>
      </w:r>
      <w:r>
        <w:rPr>
          <w:spacing w:val="4"/>
        </w:rPr>
        <w:t xml:space="preserve"> </w:t>
      </w:r>
      <w:r>
        <w:rPr>
          <w:rFonts w:hint="eastAsia"/>
          <w:spacing w:val="4"/>
        </w:rPr>
        <w:t>职务：</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520" w:lineRule="exact"/>
        <w:rPr>
          <w:spacing w:val="4"/>
          <w:u w:val="single"/>
        </w:rPr>
        <w:sectPr>
          <w:pgSz w:w="11906" w:h="16838"/>
          <w:pgMar w:top="1440" w:right="1468" w:bottom="1440" w:left="1803" w:header="794" w:footer="567" w:gutter="0"/>
          <w:cols w:space="720" w:num="1"/>
          <w:docGrid w:type="linesAndChars" w:linePitch="312" w:charSpace="0"/>
        </w:sectPr>
      </w:pPr>
    </w:p>
    <w:p>
      <w:pPr>
        <w:snapToGrid w:val="0"/>
        <w:spacing w:before="240"/>
        <w:outlineLvl w:val="1"/>
        <w:rPr>
          <w:rFonts w:asciiTheme="minorEastAsia" w:hAnsiTheme="minorEastAsia" w:eastAsiaTheme="minorEastAsia" w:cstheme="minorEastAsia"/>
          <w:bCs/>
          <w:sz w:val="24"/>
        </w:rPr>
      </w:pPr>
      <w:bookmarkStart w:id="417" w:name="_Toc2341669"/>
      <w:bookmarkStart w:id="418" w:name="_Toc533236399"/>
      <w:bookmarkStart w:id="419" w:name="_Toc17154_WPSOffice_Level1"/>
      <w:bookmarkStart w:id="420" w:name="_Toc2341756"/>
      <w:bookmarkStart w:id="421" w:name="_Toc31101"/>
      <w:bookmarkStart w:id="422" w:name="_Toc2341918"/>
      <w:bookmarkStart w:id="423" w:name="_Toc23589"/>
      <w:bookmarkStart w:id="424" w:name="_Toc13488"/>
      <w:bookmarkStart w:id="425" w:name="_Toc2341349"/>
      <w:bookmarkStart w:id="426" w:name="_Toc13874"/>
      <w:bookmarkStart w:id="427" w:name="_Toc13449"/>
      <w:r>
        <w:rPr>
          <w:rFonts w:hint="eastAsia" w:asciiTheme="minorEastAsia" w:hAnsiTheme="minorEastAsia" w:eastAsiaTheme="minorEastAsia" w:cstheme="minorEastAsia"/>
          <w:bCs/>
          <w:sz w:val="24"/>
        </w:rPr>
        <w:t>格式</w:t>
      </w:r>
      <w:r>
        <w:rPr>
          <w:rFonts w:hint="eastAsia" w:asciiTheme="minorEastAsia" w:hAnsiTheme="minorEastAsia" w:eastAsiaTheme="minorEastAsia" w:cstheme="minorEastAsia"/>
          <w:bCs/>
          <w:sz w:val="24"/>
          <w:lang w:val="en-US" w:eastAsia="zh-CN"/>
        </w:rPr>
        <w:t>5</w:t>
      </w:r>
      <w:r>
        <w:rPr>
          <w:rFonts w:hint="eastAsia" w:asciiTheme="minorEastAsia" w:hAnsiTheme="minorEastAsia" w:eastAsiaTheme="minorEastAsia" w:cstheme="minorEastAsia"/>
          <w:bCs/>
          <w:sz w:val="24"/>
        </w:rPr>
        <w:t>：</w:t>
      </w:r>
      <w:bookmarkEnd w:id="417"/>
      <w:bookmarkEnd w:id="418"/>
      <w:bookmarkEnd w:id="419"/>
      <w:bookmarkEnd w:id="420"/>
      <w:bookmarkEnd w:id="421"/>
      <w:bookmarkEnd w:id="422"/>
      <w:bookmarkEnd w:id="423"/>
      <w:bookmarkEnd w:id="424"/>
      <w:bookmarkEnd w:id="425"/>
      <w:r>
        <w:rPr>
          <w:rFonts w:hint="eastAsia" w:asciiTheme="minorEastAsia" w:hAnsiTheme="minorEastAsia" w:eastAsiaTheme="minorEastAsia" w:cstheme="minorEastAsia"/>
          <w:bCs/>
          <w:sz w:val="24"/>
        </w:rPr>
        <w:t>货物技术参数响应一览表</w:t>
      </w:r>
      <w:bookmarkEnd w:id="426"/>
      <w:bookmarkEnd w:id="427"/>
    </w:p>
    <w:p>
      <w:pPr>
        <w:snapToGrid w:val="0"/>
        <w:spacing w:before="240"/>
        <w:jc w:val="center"/>
        <w:rPr>
          <w:rFonts w:ascii="黑体" w:hAnsi="黑体" w:eastAsia="黑体" w:cs="黑体"/>
          <w:bCs/>
          <w:sz w:val="32"/>
          <w:szCs w:val="32"/>
        </w:rPr>
      </w:pPr>
      <w:bookmarkStart w:id="428" w:name="_Toc50691051"/>
      <w:r>
        <w:rPr>
          <w:rFonts w:hint="eastAsia" w:ascii="黑体" w:hAnsi="黑体" w:eastAsia="黑体" w:cs="黑体"/>
          <w:bCs/>
          <w:sz w:val="32"/>
          <w:szCs w:val="32"/>
        </w:rPr>
        <w:t>货物技术参数响应一览表</w:t>
      </w:r>
      <w:bookmarkEnd w:id="428"/>
    </w:p>
    <w:p>
      <w:pPr>
        <w:pStyle w:val="2"/>
        <w:rPr>
          <w:rFonts w:asciiTheme="minorEastAsia" w:hAnsiTheme="minorEastAsia" w:eastAsiaTheme="minorEastAsia" w:cstheme="minorEastAsia"/>
          <w:szCs w:val="24"/>
        </w:rPr>
      </w:pPr>
    </w:p>
    <w:p>
      <w:pPr>
        <w:snapToGrid w:val="0"/>
        <w:spacing w:before="240"/>
        <w:jc w:val="center"/>
        <w:outlineLvl w:val="1"/>
        <w:rPr>
          <w:rFonts w:ascii="黑体" w:hAnsi="黑体" w:eastAsia="黑体" w:cs="黑体"/>
          <w:bCs/>
          <w:sz w:val="2"/>
          <w:szCs w:val="2"/>
        </w:rPr>
      </w:pPr>
    </w:p>
    <w:tbl>
      <w:tblPr>
        <w:tblStyle w:val="21"/>
        <w:tblW w:w="9026"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2790"/>
        <w:gridCol w:w="2325"/>
        <w:gridCol w:w="2032"/>
        <w:gridCol w:w="13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535" w:type="dxa"/>
            <w:tcBorders>
              <w:top w:val="single" w:color="auto" w:sz="12" w:space="0"/>
              <w:left w:val="single" w:color="auto" w:sz="12" w:space="0"/>
              <w:bottom w:val="double" w:color="auto" w:sz="2" w:space="0"/>
              <w:right w:val="single" w:color="auto" w:sz="4" w:space="0"/>
            </w:tcBorders>
            <w:shd w:val="clear" w:color="auto" w:fill="CFCECE" w:themeFill="background2" w:themeFillShade="E5"/>
            <w:vAlign w:val="center"/>
          </w:tcPr>
          <w:p>
            <w:pPr>
              <w:adjustRightInd w:val="0"/>
              <w:snapToGrid w:val="0"/>
              <w:ind w:left="-71" w:leftChars="-34" w:right="-73" w:rightChars="-35"/>
              <w:jc w:val="center"/>
              <w:rPr>
                <w:rFonts w:ascii="宋体" w:hAnsi="宋体" w:cstheme="minorEastAsia"/>
                <w:b/>
                <w:bCs/>
                <w:szCs w:val="21"/>
              </w:rPr>
            </w:pPr>
            <w:bookmarkStart w:id="429" w:name="_Toc533236400"/>
            <w:bookmarkStart w:id="430" w:name="_Toc334797773"/>
            <w:bookmarkStart w:id="431" w:name="_Toc334797774"/>
            <w:r>
              <w:rPr>
                <w:rFonts w:hint="eastAsia" w:ascii="宋体" w:hAnsi="宋体" w:cstheme="minorEastAsia"/>
                <w:b/>
                <w:bCs/>
              </w:rPr>
              <w:t>序号</w:t>
            </w:r>
          </w:p>
        </w:tc>
        <w:tc>
          <w:tcPr>
            <w:tcW w:w="2790" w:type="dxa"/>
            <w:tcBorders>
              <w:top w:val="single" w:color="auto" w:sz="12" w:space="0"/>
              <w:left w:val="single" w:color="auto" w:sz="4" w:space="0"/>
              <w:bottom w:val="double" w:color="auto" w:sz="2" w:space="0"/>
              <w:right w:val="single" w:color="auto" w:sz="4" w:space="0"/>
            </w:tcBorders>
            <w:shd w:val="clear" w:color="auto" w:fill="CFCECE" w:themeFill="background2" w:themeFillShade="E5"/>
            <w:vAlign w:val="center"/>
          </w:tcPr>
          <w:p>
            <w:pPr>
              <w:adjustRightInd w:val="0"/>
              <w:snapToGrid w:val="0"/>
              <w:ind w:left="-71" w:leftChars="-34" w:right="-73" w:rightChars="-35"/>
              <w:jc w:val="center"/>
              <w:rPr>
                <w:rFonts w:ascii="宋体" w:hAnsi="宋体" w:cstheme="minorEastAsia"/>
                <w:b/>
                <w:bCs/>
                <w:szCs w:val="21"/>
              </w:rPr>
            </w:pPr>
            <w:r>
              <w:rPr>
                <w:rFonts w:hint="eastAsia" w:ascii="宋体" w:hAnsi="宋体" w:cstheme="minorEastAsia"/>
                <w:b/>
                <w:bCs/>
              </w:rPr>
              <w:t>采购文件条款描述</w:t>
            </w:r>
          </w:p>
        </w:tc>
        <w:tc>
          <w:tcPr>
            <w:tcW w:w="2325" w:type="dxa"/>
            <w:tcBorders>
              <w:top w:val="single" w:color="auto" w:sz="12" w:space="0"/>
              <w:left w:val="single" w:color="auto" w:sz="4" w:space="0"/>
              <w:bottom w:val="double" w:color="auto" w:sz="2" w:space="0"/>
              <w:right w:val="single" w:color="auto" w:sz="4" w:space="0"/>
            </w:tcBorders>
            <w:shd w:val="clear" w:color="auto" w:fill="CFCECE" w:themeFill="background2" w:themeFillShade="E5"/>
            <w:vAlign w:val="center"/>
          </w:tcPr>
          <w:p>
            <w:pPr>
              <w:adjustRightInd w:val="0"/>
              <w:snapToGrid w:val="0"/>
              <w:ind w:left="-71" w:leftChars="-34" w:right="-73" w:rightChars="-35"/>
              <w:jc w:val="center"/>
              <w:rPr>
                <w:rFonts w:ascii="宋体" w:hAnsi="宋体" w:cstheme="minorEastAsia"/>
                <w:b/>
                <w:bCs/>
                <w:szCs w:val="21"/>
              </w:rPr>
            </w:pPr>
            <w:r>
              <w:rPr>
                <w:rFonts w:hint="eastAsia" w:ascii="宋体" w:hAnsi="宋体" w:cstheme="minorEastAsia"/>
                <w:b/>
                <w:bCs/>
              </w:rPr>
              <w:t>供应商响应描述</w:t>
            </w:r>
          </w:p>
          <w:p>
            <w:pPr>
              <w:adjustRightInd w:val="0"/>
              <w:snapToGrid w:val="0"/>
              <w:ind w:left="-71" w:leftChars="-34" w:right="-73" w:rightChars="-35"/>
              <w:jc w:val="center"/>
              <w:rPr>
                <w:rFonts w:ascii="宋体" w:hAnsi="宋体" w:cstheme="minorEastAsia"/>
                <w:b/>
                <w:bCs/>
                <w:szCs w:val="21"/>
              </w:rPr>
            </w:pPr>
            <w:r>
              <w:rPr>
                <w:rFonts w:hint="eastAsia" w:ascii="宋体" w:hAnsi="宋体" w:cstheme="minorEastAsia"/>
                <w:b/>
                <w:bCs/>
              </w:rPr>
              <w:t>(供应商应按响应货物/服务实际数据填写，不能照抄要求)</w:t>
            </w:r>
          </w:p>
        </w:tc>
        <w:tc>
          <w:tcPr>
            <w:tcW w:w="2032" w:type="dxa"/>
            <w:tcBorders>
              <w:top w:val="single" w:color="auto" w:sz="12" w:space="0"/>
              <w:left w:val="single" w:color="auto" w:sz="4" w:space="0"/>
              <w:bottom w:val="double" w:color="auto" w:sz="2" w:space="0"/>
              <w:right w:val="single" w:color="auto" w:sz="4" w:space="0"/>
            </w:tcBorders>
            <w:shd w:val="clear" w:color="auto" w:fill="CFCECE" w:themeFill="background2" w:themeFillShade="E5"/>
            <w:vAlign w:val="center"/>
          </w:tcPr>
          <w:p>
            <w:pPr>
              <w:adjustRightInd w:val="0"/>
              <w:snapToGrid w:val="0"/>
              <w:ind w:left="-71" w:leftChars="-34" w:right="-73" w:rightChars="-35"/>
              <w:jc w:val="center"/>
              <w:rPr>
                <w:rFonts w:ascii="宋体" w:hAnsi="宋体" w:cstheme="minorEastAsia"/>
                <w:b/>
                <w:bCs/>
                <w:szCs w:val="21"/>
              </w:rPr>
            </w:pPr>
            <w:r>
              <w:rPr>
                <w:rFonts w:hint="eastAsia" w:ascii="宋体" w:hAnsi="宋体" w:cstheme="minorEastAsia"/>
                <w:b/>
                <w:bCs/>
              </w:rPr>
              <w:t>偏离情况说明</w:t>
            </w:r>
          </w:p>
          <w:p>
            <w:pPr>
              <w:adjustRightInd w:val="0"/>
              <w:snapToGrid w:val="0"/>
              <w:jc w:val="center"/>
              <w:rPr>
                <w:rFonts w:ascii="宋体" w:hAnsi="宋体" w:cstheme="minorEastAsia"/>
                <w:b/>
                <w:bCs/>
                <w:szCs w:val="21"/>
              </w:rPr>
            </w:pPr>
            <w:r>
              <w:rPr>
                <w:rFonts w:hint="eastAsia" w:ascii="宋体" w:hAnsi="宋体" w:cstheme="minorEastAsia"/>
                <w:b/>
                <w:bCs/>
              </w:rPr>
              <w:t>（正偏离/完全响应/负偏离）</w:t>
            </w:r>
          </w:p>
        </w:tc>
        <w:tc>
          <w:tcPr>
            <w:tcW w:w="1344" w:type="dxa"/>
            <w:tcBorders>
              <w:top w:val="single" w:color="auto" w:sz="12" w:space="0"/>
              <w:left w:val="single" w:color="auto" w:sz="4" w:space="0"/>
              <w:bottom w:val="double" w:color="auto" w:sz="2" w:space="0"/>
              <w:right w:val="single" w:color="auto" w:sz="12" w:space="0"/>
            </w:tcBorders>
            <w:shd w:val="clear" w:color="auto" w:fill="CFCECE" w:themeFill="background2" w:themeFillShade="E5"/>
            <w:vAlign w:val="center"/>
          </w:tcPr>
          <w:p>
            <w:pPr>
              <w:adjustRightInd w:val="0"/>
              <w:snapToGrid w:val="0"/>
              <w:ind w:left="-71" w:leftChars="-34" w:right="-73" w:rightChars="-35"/>
              <w:jc w:val="center"/>
              <w:rPr>
                <w:rFonts w:ascii="宋体" w:hAnsi="宋体" w:cstheme="minorEastAsia"/>
                <w:b/>
                <w:bCs/>
                <w:szCs w:val="21"/>
              </w:rPr>
            </w:pPr>
            <w:r>
              <w:rPr>
                <w:rFonts w:hint="eastAsia" w:ascii="宋体" w:hAnsi="宋体" w:cstheme="minorEastAsia"/>
                <w:b/>
                <w:bCs/>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026" w:type="dxa"/>
            <w:gridSpan w:val="5"/>
            <w:tcBorders>
              <w:top w:val="single" w:color="auto" w:sz="4" w:space="0"/>
              <w:left w:val="single" w:color="auto" w:sz="12" w:space="0"/>
              <w:bottom w:val="single" w:color="auto" w:sz="4" w:space="0"/>
              <w:right w:val="single" w:color="auto" w:sz="12" w:space="0"/>
            </w:tcBorders>
            <w:vAlign w:val="center"/>
          </w:tcPr>
          <w:p>
            <w:pPr>
              <w:adjustRightInd w:val="0"/>
              <w:snapToGrid w:val="0"/>
              <w:jc w:val="center"/>
              <w:rPr>
                <w:rFonts w:ascii="宋体" w:hAnsi="宋体" w:cstheme="minorEastAsia"/>
                <w:b/>
                <w:bCs/>
                <w:szCs w:val="21"/>
              </w:rPr>
            </w:pPr>
            <w:r>
              <w:rPr>
                <w:rFonts w:hint="eastAsia" w:ascii="宋体" w:hAnsi="宋体" w:cstheme="minorEastAsia"/>
                <w:b/>
                <w:bCs/>
              </w:rPr>
              <w:t>带“★”的重要条款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23"/>
              </w:numPr>
              <w:jc w:val="center"/>
              <w:rPr>
                <w:rFonts w:ascii="宋体" w:hAnsi="宋体" w:cstheme="minorEastAsia"/>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theme="minorEastAsia"/>
                <w:kern w:val="0"/>
                <w:szCs w:val="21"/>
              </w:rPr>
            </w:pPr>
            <w:r>
              <w:rPr>
                <w:rFonts w:hint="eastAsia" w:ascii="宋体" w:hAnsi="宋体" w:cstheme="minorEastAsia"/>
              </w:rPr>
              <w:t>一、</w:t>
            </w:r>
            <w:r>
              <w:rPr>
                <w:rFonts w:hint="eastAsia" w:ascii="宋体" w:hAnsi="宋体" w:cstheme="minorEastAsia"/>
                <w:kern w:val="0"/>
              </w:rPr>
              <w:t>第三章用户需求书的技术参数</w:t>
            </w:r>
            <w:r>
              <w:rPr>
                <w:rFonts w:hint="eastAsia" w:ascii="宋体" w:hAnsi="宋体" w:cstheme="minorEastAsia"/>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23"/>
              </w:numPr>
              <w:jc w:val="center"/>
              <w:rPr>
                <w:rFonts w:ascii="宋体" w:hAnsi="宋体" w:cstheme="minorEastAsia"/>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theme="minorEastAsia"/>
                <w:kern w:val="0"/>
                <w:szCs w:val="21"/>
              </w:rPr>
            </w:pPr>
            <w:r>
              <w:rPr>
                <w:rFonts w:hint="eastAsia" w:ascii="宋体" w:hAnsi="宋体" w:cstheme="minorEastAsia"/>
              </w:rPr>
              <w:t>二、</w:t>
            </w:r>
            <w:r>
              <w:rPr>
                <w:rFonts w:hint="eastAsia" w:ascii="宋体" w:hAnsi="宋体" w:cstheme="minorEastAsia"/>
                <w:kern w:val="0"/>
              </w:rPr>
              <w:t>第三章用户需求书的技术参数</w:t>
            </w:r>
            <w:r>
              <w:rPr>
                <w:rFonts w:hint="eastAsia" w:ascii="宋体" w:hAnsi="宋体" w:cstheme="minorEastAsia"/>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23"/>
              </w:numPr>
              <w:jc w:val="center"/>
              <w:rPr>
                <w:rFonts w:ascii="宋体" w:hAnsi="宋体" w:cstheme="minorEastAsia"/>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theme="minorEastAsia"/>
                <w:kern w:val="0"/>
                <w:szCs w:val="21"/>
              </w:rPr>
            </w:pPr>
            <w:r>
              <w:rPr>
                <w:rFonts w:hint="eastAsia" w:ascii="宋体" w:hAnsi="宋体" w:cstheme="minorEastAsia"/>
              </w:rPr>
              <w:t>三、</w:t>
            </w:r>
            <w:r>
              <w:rPr>
                <w:rFonts w:hint="eastAsia" w:ascii="宋体" w:hAnsi="宋体" w:cstheme="minorEastAsia"/>
                <w:kern w:val="0"/>
              </w:rPr>
              <w:t>第三章用户需求书的技术参数</w:t>
            </w:r>
            <w:r>
              <w:rPr>
                <w:rFonts w:hint="eastAsia" w:ascii="宋体" w:hAnsi="宋体" w:cstheme="minorEastAsia"/>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jc w:val="center"/>
        </w:trPr>
        <w:tc>
          <w:tcPr>
            <w:tcW w:w="9026" w:type="dxa"/>
            <w:gridSpan w:val="5"/>
            <w:tcBorders>
              <w:top w:val="single" w:color="auto" w:sz="4" w:space="0"/>
              <w:left w:val="single" w:color="auto" w:sz="12" w:space="0"/>
              <w:bottom w:val="single" w:color="auto" w:sz="4" w:space="0"/>
              <w:right w:val="single" w:color="auto" w:sz="12" w:space="0"/>
            </w:tcBorders>
            <w:vAlign w:val="center"/>
          </w:tcPr>
          <w:p>
            <w:pPr>
              <w:adjustRightInd w:val="0"/>
              <w:snapToGrid w:val="0"/>
              <w:jc w:val="center"/>
              <w:rPr>
                <w:rFonts w:ascii="宋体" w:hAnsi="宋体" w:cstheme="minorEastAsia"/>
                <w:b/>
                <w:bCs/>
                <w:szCs w:val="21"/>
              </w:rPr>
            </w:pPr>
            <w:r>
              <w:rPr>
                <w:rFonts w:hint="eastAsia" w:ascii="宋体" w:hAnsi="宋体" w:cstheme="minorEastAsia"/>
                <w:b/>
                <w:bCs/>
              </w:rPr>
              <w:t>一般技术条款（除带“★”之外的技术条款）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24"/>
              </w:numPr>
              <w:jc w:val="center"/>
              <w:rPr>
                <w:rFonts w:ascii="宋体" w:hAnsi="宋体" w:cstheme="minorEastAsia"/>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cstheme="minorEastAsia"/>
                <w:szCs w:val="21"/>
              </w:rPr>
            </w:pPr>
            <w:r>
              <w:rPr>
                <w:rFonts w:hint="eastAsia" w:ascii="宋体" w:hAnsi="宋体" w:cstheme="minorEastAsia"/>
              </w:rPr>
              <w:t>一、</w:t>
            </w:r>
            <w:r>
              <w:rPr>
                <w:rFonts w:hint="eastAsia" w:ascii="宋体" w:hAnsi="宋体" w:cstheme="minorEastAsia"/>
                <w:kern w:val="0"/>
              </w:rPr>
              <w:t>第三章用户需求书的技术参数</w:t>
            </w:r>
            <w:r>
              <w:rPr>
                <w:rFonts w:hint="eastAsia" w:ascii="宋体" w:hAnsi="宋体" w:cstheme="minorEastAsia"/>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535" w:type="dxa"/>
            <w:tcBorders>
              <w:top w:val="single" w:color="auto" w:sz="4" w:space="0"/>
              <w:left w:val="single" w:color="auto" w:sz="12" w:space="0"/>
              <w:bottom w:val="single" w:color="auto" w:sz="4" w:space="0"/>
              <w:right w:val="single" w:color="auto" w:sz="4" w:space="0"/>
            </w:tcBorders>
            <w:vAlign w:val="center"/>
          </w:tcPr>
          <w:p>
            <w:pPr>
              <w:numPr>
                <w:ilvl w:val="0"/>
                <w:numId w:val="24"/>
              </w:numPr>
              <w:jc w:val="center"/>
              <w:rPr>
                <w:rFonts w:ascii="宋体" w:hAnsi="宋体" w:cstheme="minorEastAsia"/>
                <w:szCs w:val="21"/>
              </w:rPr>
            </w:pPr>
          </w:p>
        </w:tc>
        <w:tc>
          <w:tcPr>
            <w:tcW w:w="2790" w:type="dxa"/>
            <w:tcBorders>
              <w:top w:val="single" w:color="auto" w:sz="4" w:space="0"/>
              <w:left w:val="single" w:color="auto" w:sz="4" w:space="0"/>
              <w:bottom w:val="single" w:color="auto" w:sz="4" w:space="0"/>
              <w:right w:val="single" w:color="auto" w:sz="4" w:space="0"/>
            </w:tcBorders>
            <w:vAlign w:val="center"/>
          </w:tcPr>
          <w:p>
            <w:pPr>
              <w:rPr>
                <w:rFonts w:ascii="宋体" w:hAnsi="宋体" w:cstheme="minorEastAsia"/>
                <w:szCs w:val="21"/>
              </w:rPr>
            </w:pPr>
            <w:r>
              <w:rPr>
                <w:rFonts w:hint="eastAsia" w:ascii="宋体" w:hAnsi="宋体" w:cstheme="minorEastAsia"/>
              </w:rPr>
              <w:t>二、</w:t>
            </w:r>
            <w:r>
              <w:rPr>
                <w:rFonts w:hint="eastAsia" w:ascii="宋体" w:hAnsi="宋体" w:cstheme="minorEastAsia"/>
                <w:kern w:val="0"/>
              </w:rPr>
              <w:t>第三章用户需求书的技术参数</w:t>
            </w:r>
            <w:r>
              <w:rPr>
                <w:rFonts w:hint="eastAsia" w:ascii="宋体" w:hAnsi="宋体" w:cstheme="minorEastAsia"/>
              </w:rPr>
              <w:t>，采购清单表格中所有内容</w:t>
            </w:r>
          </w:p>
        </w:tc>
        <w:tc>
          <w:tcPr>
            <w:tcW w:w="23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203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535" w:type="dxa"/>
            <w:tcBorders>
              <w:top w:val="single" w:color="auto" w:sz="4" w:space="0"/>
              <w:left w:val="single" w:color="auto" w:sz="12" w:space="0"/>
              <w:bottom w:val="single" w:color="auto" w:sz="12" w:space="0"/>
              <w:right w:val="single" w:color="auto" w:sz="4" w:space="0"/>
            </w:tcBorders>
            <w:vAlign w:val="center"/>
          </w:tcPr>
          <w:p>
            <w:pPr>
              <w:numPr>
                <w:ilvl w:val="0"/>
                <w:numId w:val="24"/>
              </w:numPr>
              <w:jc w:val="center"/>
              <w:rPr>
                <w:rFonts w:ascii="宋体" w:hAnsi="宋体" w:cstheme="minorEastAsia"/>
                <w:szCs w:val="21"/>
              </w:rPr>
            </w:pPr>
          </w:p>
        </w:tc>
        <w:tc>
          <w:tcPr>
            <w:tcW w:w="2790" w:type="dxa"/>
            <w:tcBorders>
              <w:top w:val="single" w:color="auto" w:sz="4" w:space="0"/>
              <w:left w:val="single" w:color="auto" w:sz="4" w:space="0"/>
              <w:bottom w:val="single" w:color="auto" w:sz="12" w:space="0"/>
              <w:right w:val="single" w:color="auto" w:sz="4" w:space="0"/>
            </w:tcBorders>
            <w:vAlign w:val="center"/>
          </w:tcPr>
          <w:p>
            <w:pPr>
              <w:rPr>
                <w:rFonts w:ascii="宋体" w:hAnsi="宋体" w:cstheme="minorEastAsia"/>
                <w:i/>
                <w:iCs/>
                <w:szCs w:val="21"/>
              </w:rPr>
            </w:pPr>
            <w:r>
              <w:rPr>
                <w:rFonts w:hint="eastAsia" w:ascii="宋体" w:hAnsi="宋体" w:cstheme="minorEastAsia"/>
                <w:i/>
                <w:iCs/>
              </w:rPr>
              <w:t>……（响应人按上述示例自行补充完整，并逐条响应）</w:t>
            </w:r>
          </w:p>
        </w:tc>
        <w:tc>
          <w:tcPr>
            <w:tcW w:w="2325"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宋体" w:hAnsi="宋体" w:cstheme="minorEastAsia"/>
                <w:b/>
                <w:bCs/>
                <w:szCs w:val="21"/>
              </w:rPr>
            </w:pPr>
          </w:p>
        </w:tc>
        <w:tc>
          <w:tcPr>
            <w:tcW w:w="2032"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rPr>
                <w:rFonts w:ascii="宋体" w:hAnsi="宋体" w:cstheme="minorEastAsia"/>
                <w:szCs w:val="21"/>
              </w:rPr>
            </w:pPr>
          </w:p>
        </w:tc>
        <w:tc>
          <w:tcPr>
            <w:tcW w:w="1344" w:type="dxa"/>
            <w:tcBorders>
              <w:top w:val="single" w:color="auto" w:sz="4" w:space="0"/>
              <w:left w:val="single" w:color="auto" w:sz="4" w:space="0"/>
              <w:bottom w:val="single" w:color="auto" w:sz="12" w:space="0"/>
              <w:right w:val="single" w:color="auto" w:sz="12" w:space="0"/>
            </w:tcBorders>
            <w:vAlign w:val="center"/>
          </w:tcPr>
          <w:p>
            <w:pPr>
              <w:adjustRightInd w:val="0"/>
              <w:snapToGrid w:val="0"/>
              <w:jc w:val="center"/>
              <w:rPr>
                <w:rFonts w:ascii="宋体" w:hAnsi="宋体" w:cstheme="minorEastAsia"/>
                <w:szCs w:val="21"/>
              </w:rPr>
            </w:pPr>
            <w:r>
              <w:rPr>
                <w:rFonts w:hint="eastAsia" w:ascii="宋体" w:hAnsi="宋体" w:cstheme="minorEastAsia"/>
              </w:rPr>
              <w:t>见《响应文件》第页</w:t>
            </w:r>
          </w:p>
        </w:tc>
      </w:tr>
    </w:tbl>
    <w:p>
      <w:pPr>
        <w:spacing w:line="360" w:lineRule="auto"/>
        <w:ind w:right="84" w:rightChars="40"/>
        <w:rPr>
          <w:rFonts w:ascii="宋体" w:hAnsi="宋体" w:cstheme="minorEastAsia"/>
          <w:szCs w:val="21"/>
        </w:rPr>
      </w:pPr>
      <w:r>
        <w:rPr>
          <w:rFonts w:hint="eastAsia" w:ascii="宋体" w:hAnsi="宋体" w:cstheme="minorEastAsia"/>
        </w:rPr>
        <w:t>备注：</w:t>
      </w:r>
    </w:p>
    <w:p>
      <w:pPr>
        <w:numPr>
          <w:ilvl w:val="0"/>
          <w:numId w:val="25"/>
        </w:numPr>
        <w:adjustRightInd w:val="0"/>
        <w:snapToGrid w:val="0"/>
        <w:spacing w:line="460" w:lineRule="exact"/>
        <w:rPr>
          <w:rFonts w:ascii="宋体" w:hAnsi="宋体" w:cstheme="minorEastAsia"/>
          <w:kern w:val="0"/>
        </w:rPr>
      </w:pPr>
      <w:r>
        <w:rPr>
          <w:rFonts w:hint="eastAsia" w:ascii="宋体" w:hAnsi="宋体" w:cstheme="minorEastAsia"/>
          <w:kern w:val="0"/>
        </w:rPr>
        <w:t>用户需求中的条款要求提供的相关证明资料必须一并提供，否则视为不响应。</w:t>
      </w:r>
    </w:p>
    <w:p>
      <w:pPr>
        <w:numPr>
          <w:ilvl w:val="0"/>
          <w:numId w:val="25"/>
        </w:numPr>
        <w:adjustRightInd w:val="0"/>
        <w:snapToGrid w:val="0"/>
        <w:spacing w:line="460" w:lineRule="exact"/>
        <w:rPr>
          <w:rFonts w:ascii="宋体" w:hAnsi="宋体" w:cstheme="minorEastAsia"/>
        </w:rPr>
      </w:pPr>
      <w:r>
        <w:rPr>
          <w:rFonts w:hint="eastAsia" w:ascii="宋体" w:hAnsi="宋体" w:cstheme="minorEastAsia"/>
        </w:rPr>
        <w:t>“响应文件条款描述”的条款与用户需求中的条款描述不一致的，以用户需求中规定的为准。</w:t>
      </w:r>
    </w:p>
    <w:p>
      <w:pPr>
        <w:adjustRightInd w:val="0"/>
        <w:snapToGrid w:val="0"/>
        <w:spacing w:line="460" w:lineRule="exact"/>
        <w:ind w:left="420"/>
        <w:rPr>
          <w:rFonts w:ascii="宋体" w:hAnsi="宋体" w:cstheme="minorEastAsia"/>
        </w:rPr>
      </w:pPr>
      <w:r>
        <w:rPr>
          <w:rFonts w:hint="eastAsia" w:ascii="宋体" w:hAnsi="宋体" w:cstheme="minorEastAsia"/>
        </w:rPr>
        <w:t xml:space="preserve"> </w:t>
      </w:r>
    </w:p>
    <w:p>
      <w:pPr>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响应人全称: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（加盖公章）</w:t>
      </w:r>
    </w:p>
    <w:p>
      <w:pPr>
        <w:tabs>
          <w:tab w:val="left" w:pos="4500"/>
        </w:tabs>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法定代表人或其响应人授权代表(签字)：                                 </w:t>
      </w:r>
    </w:p>
    <w:p>
      <w:pPr>
        <w:tabs>
          <w:tab w:val="left" w:pos="4500"/>
        </w:tabs>
        <w:spacing w:line="60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bookmarkEnd w:id="429"/>
    <w:bookmarkEnd w:id="430"/>
    <w:p>
      <w:pPr>
        <w:snapToGrid w:val="0"/>
        <w:spacing w:before="240"/>
        <w:outlineLvl w:val="1"/>
        <w:rPr>
          <w:rFonts w:asciiTheme="minorEastAsia" w:hAnsiTheme="minorEastAsia" w:eastAsiaTheme="minorEastAsia" w:cstheme="minorEastAsia"/>
          <w:bCs/>
          <w:sz w:val="24"/>
        </w:rPr>
      </w:pPr>
      <w:bookmarkStart w:id="432" w:name="_Toc25373"/>
      <w:bookmarkStart w:id="433" w:name="_Toc10172"/>
      <w:bookmarkStart w:id="434" w:name="_Toc2341671"/>
      <w:bookmarkStart w:id="435" w:name="_Toc533236401"/>
      <w:bookmarkStart w:id="436" w:name="_Toc2341758"/>
      <w:bookmarkStart w:id="437" w:name="_Toc2341351"/>
      <w:bookmarkStart w:id="438" w:name="_Toc28323_WPSOffice_Level1"/>
      <w:bookmarkStart w:id="439" w:name="_Toc2341920"/>
      <w:r>
        <w:rPr>
          <w:rFonts w:hint="eastAsia" w:asciiTheme="minorEastAsia" w:hAnsiTheme="minorEastAsia" w:eastAsiaTheme="minorEastAsia" w:cstheme="minorEastAsia"/>
          <w:bCs/>
          <w:sz w:val="24"/>
        </w:rPr>
        <w:t>格式</w:t>
      </w:r>
      <w:r>
        <w:rPr>
          <w:rFonts w:hint="eastAsia" w:asciiTheme="minorEastAsia" w:hAnsiTheme="minorEastAsia" w:eastAsiaTheme="minorEastAsia" w:cstheme="minorEastAsia"/>
          <w:bCs/>
          <w:sz w:val="24"/>
          <w:lang w:val="en-US" w:eastAsia="zh-CN"/>
        </w:rPr>
        <w:t>6</w:t>
      </w:r>
      <w:r>
        <w:rPr>
          <w:rFonts w:hint="eastAsia" w:asciiTheme="minorEastAsia" w:hAnsiTheme="minorEastAsia" w:eastAsiaTheme="minorEastAsia" w:cstheme="minorEastAsia"/>
          <w:bCs/>
          <w:sz w:val="24"/>
        </w:rPr>
        <w:t>：货物技术服务方案</w:t>
      </w:r>
      <w:bookmarkEnd w:id="432"/>
      <w:bookmarkEnd w:id="433"/>
    </w:p>
    <w:p>
      <w:pPr>
        <w:snapToGrid w:val="0"/>
        <w:spacing w:before="240"/>
        <w:jc w:val="center"/>
        <w:rPr>
          <w:rFonts w:ascii="黑体" w:hAnsi="黑体" w:eastAsia="黑体" w:cs="黑体"/>
          <w:bCs/>
          <w:sz w:val="32"/>
          <w:szCs w:val="32"/>
        </w:rPr>
      </w:pPr>
      <w:bookmarkStart w:id="440" w:name="_Toc23275"/>
      <w:bookmarkStart w:id="441" w:name="_Toc7919"/>
      <w:bookmarkStart w:id="442" w:name="_Toc13595"/>
      <w:r>
        <w:rPr>
          <w:rFonts w:hint="eastAsia" w:ascii="黑体" w:hAnsi="黑体" w:eastAsia="黑体" w:cs="黑体"/>
          <w:bCs/>
          <w:sz w:val="32"/>
          <w:szCs w:val="32"/>
        </w:rPr>
        <w:t>货物技术服务方案</w:t>
      </w:r>
      <w:bookmarkEnd w:id="440"/>
      <w:bookmarkEnd w:id="441"/>
      <w:bookmarkEnd w:id="442"/>
    </w:p>
    <w:p>
      <w:pPr>
        <w:adjustRightInd w:val="0"/>
        <w:snapToGrid w:val="0"/>
        <w:spacing w:line="360" w:lineRule="auto"/>
        <w:rPr>
          <w:rFonts w:asciiTheme="minorEastAsia" w:hAnsiTheme="minorEastAsia" w:eastAsiaTheme="minorEastAsia" w:cstheme="minorEastAsia"/>
          <w:szCs w:val="21"/>
        </w:rPr>
      </w:pPr>
    </w:p>
    <w:p>
      <w:pPr>
        <w:tabs>
          <w:tab w:val="left" w:pos="630"/>
        </w:tabs>
        <w:ind w:left="210" w:leftChars="100"/>
        <w:rPr>
          <w:rFonts w:ascii="宋体" w:hAnsi="宋体"/>
          <w:b/>
          <w:szCs w:val="21"/>
        </w:rPr>
      </w:pPr>
      <w:r>
        <w:rPr>
          <w:rFonts w:hint="eastAsia" w:ascii="宋体" w:hAnsi="宋体"/>
          <w:b/>
          <w:szCs w:val="21"/>
        </w:rPr>
        <w:t>主要内容应包括但不限于以下内容</w:t>
      </w:r>
      <w:r>
        <w:rPr>
          <w:rFonts w:hint="eastAsia" w:asciiTheme="minorEastAsia" w:hAnsiTheme="minorEastAsia" w:eastAsiaTheme="minorEastAsia" w:cstheme="minorEastAsia"/>
          <w:b/>
          <w:bCs/>
          <w:szCs w:val="21"/>
        </w:rPr>
        <w:t>（格式自定）</w:t>
      </w:r>
      <w:r>
        <w:rPr>
          <w:rFonts w:hint="eastAsia" w:ascii="宋体" w:hAnsi="宋体"/>
          <w:b/>
          <w:szCs w:val="21"/>
        </w:rPr>
        <w:t>：</w:t>
      </w:r>
    </w:p>
    <w:p>
      <w:pPr>
        <w:pStyle w:val="2"/>
        <w:rPr>
          <w:rFonts w:ascii="宋体" w:hAnsi="宋体"/>
          <w:sz w:val="21"/>
          <w:szCs w:val="21"/>
        </w:rPr>
      </w:pPr>
    </w:p>
    <w:p>
      <w:pPr>
        <w:numPr>
          <w:ilvl w:val="3"/>
          <w:numId w:val="26"/>
        </w:numPr>
        <w:tabs>
          <w:tab w:val="left" w:pos="630"/>
          <w:tab w:val="clear" w:pos="1680"/>
        </w:tabs>
        <w:ind w:left="630" w:leftChars="100"/>
        <w:rPr>
          <w:rFonts w:ascii="宋体" w:hAnsi="宋体"/>
          <w:szCs w:val="21"/>
        </w:rPr>
      </w:pPr>
      <w:r>
        <w:rPr>
          <w:rFonts w:hint="eastAsia" w:ascii="宋体" w:hAnsi="宋体"/>
          <w:szCs w:val="21"/>
        </w:rPr>
        <w:t>响应货物的详细情况</w:t>
      </w:r>
    </w:p>
    <w:p>
      <w:pPr>
        <w:numPr>
          <w:ilvl w:val="3"/>
          <w:numId w:val="26"/>
        </w:numPr>
        <w:tabs>
          <w:tab w:val="left" w:pos="630"/>
          <w:tab w:val="clear" w:pos="1680"/>
        </w:tabs>
        <w:ind w:left="630" w:leftChars="100"/>
        <w:rPr>
          <w:rFonts w:ascii="宋体" w:hAnsi="宋体"/>
          <w:szCs w:val="21"/>
        </w:rPr>
      </w:pPr>
      <w:r>
        <w:rPr>
          <w:rFonts w:hint="eastAsia" w:ascii="宋体" w:hAnsi="宋体"/>
          <w:szCs w:val="21"/>
        </w:rPr>
        <w:t>响应货物的技术参数和实施方案。</w:t>
      </w:r>
    </w:p>
    <w:p>
      <w:pPr>
        <w:numPr>
          <w:ilvl w:val="3"/>
          <w:numId w:val="26"/>
        </w:numPr>
        <w:tabs>
          <w:tab w:val="left" w:pos="630"/>
          <w:tab w:val="clear" w:pos="1680"/>
        </w:tabs>
        <w:ind w:left="630" w:leftChars="100"/>
        <w:rPr>
          <w:rFonts w:ascii="宋体" w:hAnsi="宋体"/>
          <w:szCs w:val="21"/>
        </w:rPr>
      </w:pPr>
      <w:r>
        <w:rPr>
          <w:rFonts w:hint="eastAsia" w:ascii="宋体" w:hAnsi="宋体"/>
          <w:szCs w:val="21"/>
        </w:rPr>
        <w:t>响应人认为对响应有利的其他资料。</w:t>
      </w:r>
    </w:p>
    <w:p>
      <w:pPr>
        <w:numPr>
          <w:ilvl w:val="3"/>
          <w:numId w:val="26"/>
        </w:numPr>
        <w:tabs>
          <w:tab w:val="left" w:pos="630"/>
          <w:tab w:val="clear" w:pos="1680"/>
        </w:tabs>
        <w:ind w:left="630" w:leftChars="100"/>
        <w:rPr>
          <w:rFonts w:ascii="宋体" w:hAnsi="宋体"/>
          <w:szCs w:val="21"/>
        </w:rPr>
      </w:pPr>
      <w:r>
        <w:rPr>
          <w:rFonts w:hint="eastAsia" w:ascii="宋体" w:hAnsi="宋体"/>
          <w:szCs w:val="21"/>
        </w:rPr>
        <w:t>响应技术服务方案</w:t>
      </w:r>
    </w:p>
    <w:p>
      <w:pPr>
        <w:numPr>
          <w:ilvl w:val="3"/>
          <w:numId w:val="26"/>
        </w:numPr>
        <w:tabs>
          <w:tab w:val="left" w:pos="630"/>
          <w:tab w:val="clear" w:pos="1680"/>
        </w:tabs>
        <w:ind w:left="630" w:leftChars="100"/>
        <w:rPr>
          <w:rFonts w:ascii="宋体" w:hAnsi="宋体"/>
          <w:szCs w:val="21"/>
        </w:rPr>
      </w:pPr>
      <w:r>
        <w:rPr>
          <w:rFonts w:hint="eastAsia" w:ascii="宋体" w:hAnsi="宋体"/>
          <w:szCs w:val="21"/>
        </w:rPr>
        <w:t>产品质量保证、安全保障措施；</w:t>
      </w:r>
    </w:p>
    <w:p>
      <w:pPr>
        <w:numPr>
          <w:ilvl w:val="3"/>
          <w:numId w:val="26"/>
        </w:numPr>
        <w:tabs>
          <w:tab w:val="left" w:pos="630"/>
          <w:tab w:val="clear" w:pos="1680"/>
        </w:tabs>
        <w:ind w:left="630" w:leftChars="100"/>
        <w:rPr>
          <w:rFonts w:ascii="宋体" w:hAnsi="宋体"/>
          <w:szCs w:val="21"/>
        </w:rPr>
      </w:pPr>
      <w:r>
        <w:rPr>
          <w:rFonts w:hint="eastAsia" w:ascii="宋体" w:hAnsi="宋体"/>
          <w:szCs w:val="21"/>
        </w:rPr>
        <w:t>整体供货、配送方案；</w:t>
      </w:r>
    </w:p>
    <w:p>
      <w:pPr>
        <w:numPr>
          <w:ilvl w:val="3"/>
          <w:numId w:val="26"/>
        </w:numPr>
        <w:tabs>
          <w:tab w:val="left" w:pos="630"/>
          <w:tab w:val="clear" w:pos="1680"/>
        </w:tabs>
        <w:ind w:left="630" w:leftChars="100"/>
        <w:rPr>
          <w:rFonts w:ascii="宋体" w:hAnsi="宋体"/>
          <w:szCs w:val="21"/>
        </w:rPr>
      </w:pPr>
      <w:r>
        <w:rPr>
          <w:rFonts w:hint="eastAsia" w:ascii="宋体" w:hAnsi="宋体"/>
          <w:szCs w:val="21"/>
        </w:rPr>
        <w:t>质保期及售后服务承诺，关键技术及难点问题的解决等方案；</w:t>
      </w:r>
    </w:p>
    <w:p>
      <w:pPr>
        <w:numPr>
          <w:ilvl w:val="3"/>
          <w:numId w:val="26"/>
        </w:numPr>
        <w:tabs>
          <w:tab w:val="left" w:pos="630"/>
          <w:tab w:val="clear" w:pos="1680"/>
        </w:tabs>
        <w:ind w:left="630" w:leftChars="100"/>
        <w:rPr>
          <w:rFonts w:ascii="宋体" w:hAnsi="宋体"/>
          <w:szCs w:val="21"/>
        </w:rPr>
      </w:pPr>
      <w:r>
        <w:rPr>
          <w:rFonts w:hint="eastAsia" w:ascii="宋体" w:hAnsi="宋体"/>
          <w:szCs w:val="21"/>
        </w:rPr>
        <w:t>售后维修/服务点名称、电话，负责人员及地址（附售后维修/服务点的证明材料）。</w:t>
      </w:r>
    </w:p>
    <w:p>
      <w:pPr>
        <w:numPr>
          <w:ilvl w:val="3"/>
          <w:numId w:val="26"/>
        </w:numPr>
        <w:tabs>
          <w:tab w:val="left" w:pos="630"/>
          <w:tab w:val="clear" w:pos="1680"/>
        </w:tabs>
        <w:ind w:left="630" w:leftChars="100"/>
        <w:rPr>
          <w:rFonts w:ascii="宋体" w:hAnsi="宋体"/>
          <w:szCs w:val="21"/>
        </w:rPr>
      </w:pPr>
      <w:r>
        <w:rPr>
          <w:rFonts w:hint="eastAsia" w:ascii="宋体" w:hAnsi="宋体"/>
          <w:szCs w:val="21"/>
        </w:rPr>
        <w:t>详细说明维护期内的维修保养方案、价格费用及应急维修时间安排、维修服务收费标准。</w:t>
      </w:r>
    </w:p>
    <w:p>
      <w:pPr>
        <w:numPr>
          <w:ilvl w:val="3"/>
          <w:numId w:val="26"/>
        </w:numPr>
        <w:tabs>
          <w:tab w:val="left" w:pos="630"/>
          <w:tab w:val="clear" w:pos="1680"/>
        </w:tabs>
        <w:ind w:left="630" w:leftChars="100"/>
        <w:rPr>
          <w:rFonts w:ascii="宋体" w:hAnsi="宋体"/>
          <w:szCs w:val="21"/>
        </w:rPr>
      </w:pPr>
      <w:r>
        <w:rPr>
          <w:rFonts w:hint="eastAsia" w:ascii="宋体" w:hAnsi="宋体"/>
          <w:szCs w:val="21"/>
        </w:rPr>
        <w:t>响应人认为对响应有利的其他资料。</w:t>
      </w:r>
    </w:p>
    <w:p>
      <w:pPr>
        <w:pStyle w:val="2"/>
        <w:rPr>
          <w:rFonts w:ascii="宋体" w:hAnsi="宋体"/>
          <w:sz w:val="21"/>
          <w:szCs w:val="21"/>
        </w:rPr>
      </w:pPr>
    </w:p>
    <w:p>
      <w:pPr>
        <w:rPr>
          <w:rFonts w:ascii="宋体" w:hAnsi="宋体"/>
          <w:bCs/>
          <w:szCs w:val="21"/>
        </w:rPr>
      </w:pPr>
    </w:p>
    <w:p>
      <w:pPr>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响应人全称: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（加盖公章）</w:t>
      </w:r>
    </w:p>
    <w:p>
      <w:pPr>
        <w:tabs>
          <w:tab w:val="left" w:pos="4500"/>
        </w:tabs>
        <w:spacing w:line="60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法定代表人或其响应人授权代表(签字)：                                 </w:t>
      </w:r>
    </w:p>
    <w:p>
      <w:pPr>
        <w:tabs>
          <w:tab w:val="left" w:pos="4500"/>
        </w:tabs>
        <w:spacing w:line="600" w:lineRule="auto"/>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rPr>
          <w:rFonts w:asciiTheme="minorEastAsia" w:hAnsiTheme="minorEastAsia" w:eastAsiaTheme="minorEastAsia" w:cstheme="minorEastAsia"/>
          <w:bCs/>
          <w:sz w:val="24"/>
        </w:rPr>
      </w:pPr>
    </w:p>
    <w:p>
      <w:pPr>
        <w:widowControl/>
        <w:jc w:val="left"/>
        <w:outlineLvl w:val="1"/>
        <w:rPr>
          <w:rFonts w:hint="eastAsia" w:asciiTheme="minorEastAsia" w:hAnsiTheme="minorEastAsia" w:eastAsiaTheme="minorEastAsia" w:cstheme="minorEastAsia"/>
          <w:color w:val="auto"/>
          <w:kern w:val="2"/>
          <w:sz w:val="24"/>
          <w:szCs w:val="24"/>
          <w:lang w:val="en-US" w:eastAsia="zh-CN"/>
        </w:rPr>
      </w:pPr>
      <w:bookmarkStart w:id="443" w:name="_Toc9900"/>
      <w:bookmarkStart w:id="444" w:name="_Toc20283"/>
      <w:r>
        <w:rPr>
          <w:rFonts w:hint="eastAsia" w:asciiTheme="minorEastAsia" w:hAnsiTheme="minorEastAsia" w:eastAsiaTheme="minorEastAsia" w:cstheme="minorEastAsia"/>
          <w:bCs/>
          <w:sz w:val="24"/>
        </w:rPr>
        <w:t>格式</w:t>
      </w:r>
      <w:r>
        <w:rPr>
          <w:rFonts w:hint="eastAsia" w:asciiTheme="minorEastAsia" w:hAnsiTheme="minorEastAsia" w:eastAsiaTheme="minorEastAsia" w:cstheme="minorEastAsia"/>
          <w:bCs/>
          <w:sz w:val="24"/>
          <w:lang w:val="en-US" w:eastAsia="zh-CN"/>
        </w:rPr>
        <w:t>7</w:t>
      </w:r>
      <w:r>
        <w:rPr>
          <w:rFonts w:hint="eastAsia" w:asciiTheme="minorEastAsia" w:hAnsiTheme="minorEastAsia" w:eastAsiaTheme="minorEastAsia" w:cstheme="minorEastAsia"/>
          <w:bCs/>
          <w:sz w:val="24"/>
        </w:rPr>
        <w:t>：</w:t>
      </w:r>
      <w:bookmarkEnd w:id="431"/>
      <w:bookmarkEnd w:id="434"/>
      <w:bookmarkEnd w:id="435"/>
      <w:bookmarkEnd w:id="436"/>
      <w:bookmarkEnd w:id="437"/>
      <w:bookmarkEnd w:id="438"/>
      <w:bookmarkEnd w:id="439"/>
      <w:bookmarkEnd w:id="443"/>
      <w:r>
        <w:rPr>
          <w:rFonts w:hint="eastAsia" w:asciiTheme="minorEastAsia" w:hAnsiTheme="minorEastAsia" w:eastAsiaTheme="minorEastAsia" w:cstheme="minorEastAsia"/>
          <w:color w:val="auto"/>
          <w:kern w:val="2"/>
          <w:sz w:val="24"/>
          <w:szCs w:val="24"/>
          <w:lang w:val="zh-CN"/>
        </w:rPr>
        <w:t>2017年至今</w:t>
      </w:r>
      <w:r>
        <w:rPr>
          <w:rFonts w:hint="eastAsia" w:asciiTheme="minorEastAsia" w:hAnsiTheme="minorEastAsia" w:eastAsiaTheme="minorEastAsia" w:cstheme="minorEastAsia"/>
          <w:color w:val="auto"/>
          <w:kern w:val="2"/>
          <w:sz w:val="24"/>
          <w:szCs w:val="24"/>
          <w:lang w:val="en-US" w:eastAsia="zh-CN"/>
        </w:rPr>
        <w:t>实验室仪器设备</w:t>
      </w:r>
      <w:r>
        <w:rPr>
          <w:rFonts w:hint="eastAsia" w:asciiTheme="minorEastAsia" w:hAnsiTheme="minorEastAsia" w:eastAsiaTheme="minorEastAsia" w:cstheme="minorEastAsia"/>
          <w:color w:val="auto"/>
          <w:kern w:val="2"/>
          <w:sz w:val="24"/>
          <w:szCs w:val="24"/>
          <w:lang w:val="zh-CN"/>
        </w:rPr>
        <w:t>类项目业绩</w:t>
      </w:r>
      <w:r>
        <w:rPr>
          <w:rFonts w:hint="eastAsia" w:asciiTheme="minorEastAsia" w:hAnsiTheme="minorEastAsia" w:eastAsiaTheme="minorEastAsia" w:cstheme="minorEastAsia"/>
          <w:color w:val="auto"/>
          <w:kern w:val="2"/>
          <w:sz w:val="24"/>
          <w:szCs w:val="24"/>
          <w:lang w:val="en-US" w:eastAsia="zh-CN"/>
        </w:rPr>
        <w:t>一览表</w:t>
      </w:r>
      <w:bookmarkEnd w:id="444"/>
    </w:p>
    <w:p>
      <w:pPr>
        <w:pStyle w:val="2"/>
      </w:pPr>
    </w:p>
    <w:p>
      <w:pPr>
        <w:snapToGrid w:val="0"/>
        <w:spacing w:before="240"/>
        <w:jc w:val="center"/>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2017年至</w:t>
      </w:r>
      <w:r>
        <w:rPr>
          <w:rFonts w:hint="eastAsia" w:ascii="黑体" w:hAnsi="黑体" w:eastAsia="黑体" w:cs="黑体"/>
          <w:b w:val="0"/>
          <w:bCs/>
          <w:color w:val="auto"/>
          <w:sz w:val="32"/>
          <w:szCs w:val="32"/>
          <w:lang w:val="en-US" w:eastAsia="zh-CN"/>
        </w:rPr>
        <w:t>今实验室仪器设备类项目业绩</w:t>
      </w:r>
      <w:r>
        <w:rPr>
          <w:rFonts w:hint="eastAsia" w:ascii="黑体" w:hAnsi="黑体" w:eastAsia="黑体" w:cs="黑体"/>
          <w:b w:val="0"/>
          <w:bCs/>
          <w:color w:val="auto"/>
          <w:sz w:val="32"/>
          <w:szCs w:val="32"/>
        </w:rPr>
        <w:t>一览表</w:t>
      </w:r>
    </w:p>
    <w:p>
      <w:pPr>
        <w:widowControl/>
        <w:wordWrap w:val="0"/>
        <w:spacing w:line="360" w:lineRule="auto"/>
        <w:jc w:val="left"/>
        <w:rPr>
          <w:rFonts w:ascii="宋体" w:hAnsi="宋体"/>
          <w:color w:val="auto"/>
        </w:rPr>
      </w:pPr>
      <w:r>
        <w:rPr>
          <w:rFonts w:hint="eastAsia" w:ascii="宋体" w:hAnsi="宋体"/>
          <w:color w:val="auto"/>
        </w:rPr>
        <w:t xml:space="preserve">竞选人名称：                                    </w:t>
      </w:r>
    </w:p>
    <w:tbl>
      <w:tblPr>
        <w:tblStyle w:val="21"/>
        <w:tblW w:w="93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49"/>
        <w:gridCol w:w="1306"/>
        <w:gridCol w:w="1588"/>
        <w:gridCol w:w="1136"/>
        <w:gridCol w:w="1712"/>
        <w:gridCol w:w="19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535" w:type="dxa"/>
            <w:tcBorders>
              <w:top w:val="single" w:color="auto" w:sz="12" w:space="0"/>
              <w:bottom w:val="double" w:color="auto" w:sz="4" w:space="0"/>
            </w:tcBorders>
            <w:shd w:val="clear" w:color="auto" w:fill="EEECE1"/>
            <w:vAlign w:val="center"/>
          </w:tcPr>
          <w:p>
            <w:pPr>
              <w:adjustRightInd w:val="0"/>
              <w:snapToGrid w:val="0"/>
              <w:ind w:left="-84" w:leftChars="-40" w:right="-107" w:rightChars="-51"/>
              <w:jc w:val="center"/>
              <w:rPr>
                <w:color w:val="auto"/>
              </w:rPr>
            </w:pPr>
            <w:r>
              <w:rPr>
                <w:rFonts w:hint="eastAsia"/>
                <w:color w:val="auto"/>
              </w:rPr>
              <w:t>序号</w:t>
            </w:r>
          </w:p>
        </w:tc>
        <w:tc>
          <w:tcPr>
            <w:tcW w:w="1149" w:type="dxa"/>
            <w:tcBorders>
              <w:top w:val="single" w:color="auto" w:sz="12" w:space="0"/>
              <w:bottom w:val="double" w:color="auto" w:sz="4" w:space="0"/>
            </w:tcBorders>
            <w:shd w:val="clear" w:color="auto" w:fill="EEECE1"/>
            <w:vAlign w:val="center"/>
          </w:tcPr>
          <w:p>
            <w:pPr>
              <w:adjustRightInd w:val="0"/>
              <w:snapToGrid w:val="0"/>
              <w:jc w:val="center"/>
              <w:rPr>
                <w:color w:val="auto"/>
              </w:rPr>
            </w:pPr>
            <w:r>
              <w:rPr>
                <w:rFonts w:hint="eastAsia"/>
                <w:color w:val="auto"/>
              </w:rPr>
              <w:t>业主名称</w:t>
            </w:r>
          </w:p>
        </w:tc>
        <w:tc>
          <w:tcPr>
            <w:tcW w:w="1306" w:type="dxa"/>
            <w:tcBorders>
              <w:top w:val="single" w:color="auto" w:sz="12" w:space="0"/>
              <w:bottom w:val="double" w:color="auto" w:sz="4" w:space="0"/>
            </w:tcBorders>
            <w:shd w:val="clear" w:color="auto" w:fill="EEECE1"/>
            <w:vAlign w:val="center"/>
          </w:tcPr>
          <w:p>
            <w:pPr>
              <w:adjustRightInd w:val="0"/>
              <w:snapToGrid w:val="0"/>
              <w:jc w:val="center"/>
              <w:rPr>
                <w:color w:val="auto"/>
              </w:rPr>
            </w:pPr>
            <w:r>
              <w:rPr>
                <w:rFonts w:hint="eastAsia"/>
                <w:color w:val="auto"/>
              </w:rPr>
              <w:t>项目名称</w:t>
            </w:r>
          </w:p>
        </w:tc>
        <w:tc>
          <w:tcPr>
            <w:tcW w:w="1588" w:type="dxa"/>
            <w:tcBorders>
              <w:top w:val="single" w:color="auto" w:sz="12" w:space="0"/>
              <w:bottom w:val="double" w:color="auto" w:sz="4" w:space="0"/>
            </w:tcBorders>
            <w:shd w:val="clear" w:color="auto" w:fill="EEECE1"/>
            <w:vAlign w:val="center"/>
          </w:tcPr>
          <w:p>
            <w:pPr>
              <w:adjustRightInd w:val="0"/>
              <w:snapToGrid w:val="0"/>
              <w:jc w:val="center"/>
              <w:rPr>
                <w:color w:val="auto"/>
              </w:rPr>
            </w:pPr>
            <w:r>
              <w:rPr>
                <w:rFonts w:hint="eastAsia"/>
                <w:color w:val="auto"/>
              </w:rPr>
              <w:t>主要设备名称</w:t>
            </w:r>
          </w:p>
        </w:tc>
        <w:tc>
          <w:tcPr>
            <w:tcW w:w="1136" w:type="dxa"/>
            <w:tcBorders>
              <w:top w:val="single" w:color="auto" w:sz="12" w:space="0"/>
              <w:bottom w:val="double" w:color="auto" w:sz="4" w:space="0"/>
            </w:tcBorders>
            <w:shd w:val="clear" w:color="auto" w:fill="EEECE1"/>
            <w:vAlign w:val="center"/>
          </w:tcPr>
          <w:p>
            <w:pPr>
              <w:adjustRightInd w:val="0"/>
              <w:snapToGrid w:val="0"/>
              <w:jc w:val="center"/>
              <w:rPr>
                <w:color w:val="auto"/>
              </w:rPr>
            </w:pPr>
            <w:r>
              <w:rPr>
                <w:rFonts w:hint="eastAsia"/>
                <w:color w:val="auto"/>
              </w:rPr>
              <w:t>合同总价</w:t>
            </w:r>
          </w:p>
        </w:tc>
        <w:tc>
          <w:tcPr>
            <w:tcW w:w="1712" w:type="dxa"/>
            <w:tcBorders>
              <w:top w:val="single" w:color="auto" w:sz="12" w:space="0"/>
              <w:bottom w:val="double" w:color="auto" w:sz="4" w:space="0"/>
            </w:tcBorders>
            <w:shd w:val="clear" w:color="auto" w:fill="EEECE1"/>
            <w:vAlign w:val="center"/>
          </w:tcPr>
          <w:p>
            <w:pPr>
              <w:adjustRightInd w:val="0"/>
              <w:snapToGrid w:val="0"/>
              <w:jc w:val="center"/>
              <w:rPr>
                <w:color w:val="auto"/>
              </w:rPr>
            </w:pPr>
            <w:r>
              <w:rPr>
                <w:rFonts w:hint="eastAsia"/>
                <w:color w:val="auto"/>
              </w:rPr>
              <w:t>签约及完成时间</w:t>
            </w:r>
          </w:p>
        </w:tc>
        <w:tc>
          <w:tcPr>
            <w:tcW w:w="1934" w:type="dxa"/>
            <w:tcBorders>
              <w:top w:val="single" w:color="auto" w:sz="12" w:space="0"/>
              <w:bottom w:val="double" w:color="auto" w:sz="4" w:space="0"/>
            </w:tcBorders>
            <w:shd w:val="clear" w:color="auto" w:fill="EEECE1"/>
            <w:vAlign w:val="center"/>
          </w:tcPr>
          <w:p>
            <w:pPr>
              <w:adjustRightInd w:val="0"/>
              <w:snapToGrid w:val="0"/>
              <w:jc w:val="center"/>
              <w:rPr>
                <w:color w:val="auto"/>
              </w:rPr>
            </w:pPr>
            <w:r>
              <w:rPr>
                <w:rFonts w:hint="eastAsia"/>
                <w:color w:val="auto"/>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535" w:type="dxa"/>
            <w:tcBorders>
              <w:top w:val="double" w:color="auto" w:sz="4" w:space="0"/>
            </w:tcBorders>
            <w:vAlign w:val="center"/>
          </w:tcPr>
          <w:p>
            <w:pPr>
              <w:spacing w:line="400" w:lineRule="exact"/>
              <w:jc w:val="center"/>
              <w:rPr>
                <w:rFonts w:ascii="宋体" w:hAnsi="宋体"/>
                <w:color w:val="auto"/>
              </w:rPr>
            </w:pPr>
            <w:r>
              <w:rPr>
                <w:rFonts w:hint="eastAsia" w:ascii="宋体" w:hAnsi="宋体"/>
                <w:color w:val="auto"/>
              </w:rPr>
              <w:t>1</w:t>
            </w:r>
          </w:p>
        </w:tc>
        <w:tc>
          <w:tcPr>
            <w:tcW w:w="1149" w:type="dxa"/>
            <w:tcBorders>
              <w:top w:val="double" w:color="auto" w:sz="4" w:space="0"/>
            </w:tcBorders>
            <w:vAlign w:val="center"/>
          </w:tcPr>
          <w:p>
            <w:pPr>
              <w:spacing w:line="400" w:lineRule="exact"/>
              <w:jc w:val="center"/>
              <w:rPr>
                <w:color w:val="auto"/>
              </w:rPr>
            </w:pPr>
          </w:p>
        </w:tc>
        <w:tc>
          <w:tcPr>
            <w:tcW w:w="1306" w:type="dxa"/>
            <w:tcBorders>
              <w:top w:val="double" w:color="auto" w:sz="4" w:space="0"/>
            </w:tcBorders>
            <w:vAlign w:val="center"/>
          </w:tcPr>
          <w:p>
            <w:pPr>
              <w:spacing w:line="400" w:lineRule="exact"/>
              <w:jc w:val="center"/>
              <w:rPr>
                <w:color w:val="auto"/>
              </w:rPr>
            </w:pPr>
          </w:p>
        </w:tc>
        <w:tc>
          <w:tcPr>
            <w:tcW w:w="1588" w:type="dxa"/>
            <w:tcBorders>
              <w:top w:val="double" w:color="auto" w:sz="4" w:space="0"/>
            </w:tcBorders>
            <w:vAlign w:val="center"/>
          </w:tcPr>
          <w:p>
            <w:pPr>
              <w:spacing w:line="400" w:lineRule="exact"/>
              <w:jc w:val="center"/>
              <w:rPr>
                <w:color w:val="auto"/>
              </w:rPr>
            </w:pPr>
          </w:p>
        </w:tc>
        <w:tc>
          <w:tcPr>
            <w:tcW w:w="1136" w:type="dxa"/>
            <w:tcBorders>
              <w:top w:val="double" w:color="auto" w:sz="4" w:space="0"/>
            </w:tcBorders>
            <w:vAlign w:val="center"/>
          </w:tcPr>
          <w:p>
            <w:pPr>
              <w:spacing w:line="400" w:lineRule="exact"/>
              <w:jc w:val="center"/>
              <w:rPr>
                <w:color w:val="auto"/>
              </w:rPr>
            </w:pPr>
          </w:p>
        </w:tc>
        <w:tc>
          <w:tcPr>
            <w:tcW w:w="1712" w:type="dxa"/>
            <w:tcBorders>
              <w:top w:val="double" w:color="auto" w:sz="4" w:space="0"/>
            </w:tcBorders>
            <w:vAlign w:val="center"/>
          </w:tcPr>
          <w:p>
            <w:pPr>
              <w:spacing w:line="400" w:lineRule="exact"/>
              <w:jc w:val="center"/>
              <w:rPr>
                <w:color w:val="auto"/>
              </w:rPr>
            </w:pPr>
          </w:p>
        </w:tc>
        <w:tc>
          <w:tcPr>
            <w:tcW w:w="1934" w:type="dxa"/>
            <w:tcBorders>
              <w:top w:val="double" w:color="auto" w:sz="4" w:space="0"/>
            </w:tcBorders>
            <w:vAlign w:val="center"/>
          </w:tcPr>
          <w:p>
            <w:pPr>
              <w:spacing w:line="400" w:lineRule="exact"/>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35" w:type="dxa"/>
            <w:vAlign w:val="center"/>
          </w:tcPr>
          <w:p>
            <w:pPr>
              <w:spacing w:line="400" w:lineRule="exact"/>
              <w:jc w:val="center"/>
              <w:rPr>
                <w:rFonts w:ascii="宋体" w:hAnsi="宋体"/>
                <w:color w:val="auto"/>
              </w:rPr>
            </w:pPr>
            <w:r>
              <w:rPr>
                <w:rFonts w:hint="eastAsia" w:ascii="宋体" w:hAnsi="宋体"/>
                <w:color w:val="auto"/>
              </w:rPr>
              <w:t>2</w:t>
            </w:r>
          </w:p>
        </w:tc>
        <w:tc>
          <w:tcPr>
            <w:tcW w:w="1149" w:type="dxa"/>
            <w:vAlign w:val="center"/>
          </w:tcPr>
          <w:p>
            <w:pPr>
              <w:spacing w:line="400" w:lineRule="exact"/>
              <w:jc w:val="center"/>
              <w:rPr>
                <w:color w:val="auto"/>
              </w:rPr>
            </w:pPr>
          </w:p>
        </w:tc>
        <w:tc>
          <w:tcPr>
            <w:tcW w:w="1306" w:type="dxa"/>
            <w:vAlign w:val="center"/>
          </w:tcPr>
          <w:p>
            <w:pPr>
              <w:spacing w:line="400" w:lineRule="exact"/>
              <w:jc w:val="center"/>
              <w:rPr>
                <w:color w:val="auto"/>
              </w:rPr>
            </w:pPr>
          </w:p>
        </w:tc>
        <w:tc>
          <w:tcPr>
            <w:tcW w:w="1588" w:type="dxa"/>
            <w:vAlign w:val="center"/>
          </w:tcPr>
          <w:p>
            <w:pPr>
              <w:spacing w:line="400" w:lineRule="exact"/>
              <w:jc w:val="center"/>
              <w:rPr>
                <w:color w:val="auto"/>
              </w:rPr>
            </w:pPr>
          </w:p>
        </w:tc>
        <w:tc>
          <w:tcPr>
            <w:tcW w:w="1136" w:type="dxa"/>
            <w:vAlign w:val="center"/>
          </w:tcPr>
          <w:p>
            <w:pPr>
              <w:spacing w:line="400" w:lineRule="exact"/>
              <w:jc w:val="center"/>
              <w:rPr>
                <w:color w:val="auto"/>
              </w:rPr>
            </w:pPr>
          </w:p>
        </w:tc>
        <w:tc>
          <w:tcPr>
            <w:tcW w:w="1712" w:type="dxa"/>
            <w:vAlign w:val="center"/>
          </w:tcPr>
          <w:p>
            <w:pPr>
              <w:spacing w:line="400" w:lineRule="exact"/>
              <w:jc w:val="center"/>
              <w:rPr>
                <w:color w:val="auto"/>
              </w:rPr>
            </w:pPr>
          </w:p>
        </w:tc>
        <w:tc>
          <w:tcPr>
            <w:tcW w:w="1934" w:type="dxa"/>
            <w:vAlign w:val="center"/>
          </w:tcPr>
          <w:p>
            <w:pPr>
              <w:spacing w:line="400" w:lineRule="exact"/>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35" w:type="dxa"/>
            <w:vAlign w:val="center"/>
          </w:tcPr>
          <w:p>
            <w:pPr>
              <w:spacing w:line="400" w:lineRule="exact"/>
              <w:jc w:val="center"/>
              <w:rPr>
                <w:rFonts w:ascii="宋体" w:hAnsi="宋体"/>
                <w:color w:val="auto"/>
              </w:rPr>
            </w:pPr>
            <w:r>
              <w:rPr>
                <w:rFonts w:hint="eastAsia" w:ascii="宋体" w:hAnsi="宋体"/>
                <w:color w:val="auto"/>
              </w:rPr>
              <w:t>3</w:t>
            </w:r>
          </w:p>
        </w:tc>
        <w:tc>
          <w:tcPr>
            <w:tcW w:w="1149" w:type="dxa"/>
            <w:vAlign w:val="center"/>
          </w:tcPr>
          <w:p>
            <w:pPr>
              <w:spacing w:line="400" w:lineRule="exact"/>
              <w:jc w:val="center"/>
              <w:rPr>
                <w:color w:val="auto"/>
              </w:rPr>
            </w:pPr>
          </w:p>
        </w:tc>
        <w:tc>
          <w:tcPr>
            <w:tcW w:w="1306" w:type="dxa"/>
            <w:vAlign w:val="center"/>
          </w:tcPr>
          <w:p>
            <w:pPr>
              <w:spacing w:line="400" w:lineRule="exact"/>
              <w:jc w:val="center"/>
              <w:rPr>
                <w:color w:val="auto"/>
              </w:rPr>
            </w:pPr>
          </w:p>
        </w:tc>
        <w:tc>
          <w:tcPr>
            <w:tcW w:w="1588" w:type="dxa"/>
            <w:vAlign w:val="center"/>
          </w:tcPr>
          <w:p>
            <w:pPr>
              <w:spacing w:line="400" w:lineRule="exact"/>
              <w:jc w:val="center"/>
              <w:rPr>
                <w:color w:val="auto"/>
              </w:rPr>
            </w:pPr>
          </w:p>
        </w:tc>
        <w:tc>
          <w:tcPr>
            <w:tcW w:w="1136" w:type="dxa"/>
            <w:vAlign w:val="center"/>
          </w:tcPr>
          <w:p>
            <w:pPr>
              <w:spacing w:line="400" w:lineRule="exact"/>
              <w:jc w:val="center"/>
              <w:rPr>
                <w:color w:val="auto"/>
              </w:rPr>
            </w:pPr>
          </w:p>
        </w:tc>
        <w:tc>
          <w:tcPr>
            <w:tcW w:w="1712" w:type="dxa"/>
            <w:vAlign w:val="center"/>
          </w:tcPr>
          <w:p>
            <w:pPr>
              <w:spacing w:line="400" w:lineRule="exact"/>
              <w:jc w:val="center"/>
              <w:rPr>
                <w:color w:val="auto"/>
              </w:rPr>
            </w:pPr>
          </w:p>
        </w:tc>
        <w:tc>
          <w:tcPr>
            <w:tcW w:w="1934" w:type="dxa"/>
            <w:vAlign w:val="center"/>
          </w:tcPr>
          <w:p>
            <w:pPr>
              <w:spacing w:line="400" w:lineRule="exact"/>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35" w:type="dxa"/>
            <w:vAlign w:val="center"/>
          </w:tcPr>
          <w:p>
            <w:pPr>
              <w:spacing w:line="400" w:lineRule="exact"/>
              <w:jc w:val="center"/>
              <w:rPr>
                <w:rFonts w:ascii="宋体" w:hAnsi="宋体"/>
                <w:color w:val="auto"/>
              </w:rPr>
            </w:pPr>
            <w:r>
              <w:rPr>
                <w:rFonts w:hint="eastAsia" w:ascii="宋体" w:hAnsi="宋体"/>
                <w:color w:val="auto"/>
              </w:rPr>
              <w:t>4</w:t>
            </w:r>
          </w:p>
        </w:tc>
        <w:tc>
          <w:tcPr>
            <w:tcW w:w="1149" w:type="dxa"/>
            <w:vAlign w:val="center"/>
          </w:tcPr>
          <w:p>
            <w:pPr>
              <w:spacing w:line="400" w:lineRule="exact"/>
              <w:jc w:val="center"/>
              <w:rPr>
                <w:color w:val="auto"/>
              </w:rPr>
            </w:pPr>
          </w:p>
        </w:tc>
        <w:tc>
          <w:tcPr>
            <w:tcW w:w="1306" w:type="dxa"/>
            <w:vAlign w:val="center"/>
          </w:tcPr>
          <w:p>
            <w:pPr>
              <w:spacing w:line="400" w:lineRule="exact"/>
              <w:jc w:val="center"/>
              <w:rPr>
                <w:color w:val="auto"/>
              </w:rPr>
            </w:pPr>
          </w:p>
        </w:tc>
        <w:tc>
          <w:tcPr>
            <w:tcW w:w="1588" w:type="dxa"/>
            <w:vAlign w:val="center"/>
          </w:tcPr>
          <w:p>
            <w:pPr>
              <w:spacing w:line="400" w:lineRule="exact"/>
              <w:jc w:val="center"/>
              <w:rPr>
                <w:color w:val="auto"/>
              </w:rPr>
            </w:pPr>
          </w:p>
        </w:tc>
        <w:tc>
          <w:tcPr>
            <w:tcW w:w="1136" w:type="dxa"/>
            <w:vAlign w:val="center"/>
          </w:tcPr>
          <w:p>
            <w:pPr>
              <w:spacing w:line="400" w:lineRule="exact"/>
              <w:jc w:val="center"/>
              <w:rPr>
                <w:color w:val="auto"/>
              </w:rPr>
            </w:pPr>
          </w:p>
        </w:tc>
        <w:tc>
          <w:tcPr>
            <w:tcW w:w="1712" w:type="dxa"/>
            <w:vAlign w:val="center"/>
          </w:tcPr>
          <w:p>
            <w:pPr>
              <w:spacing w:line="400" w:lineRule="exact"/>
              <w:jc w:val="center"/>
              <w:rPr>
                <w:color w:val="auto"/>
              </w:rPr>
            </w:pPr>
          </w:p>
        </w:tc>
        <w:tc>
          <w:tcPr>
            <w:tcW w:w="1934" w:type="dxa"/>
            <w:vAlign w:val="center"/>
          </w:tcPr>
          <w:p>
            <w:pPr>
              <w:spacing w:line="400" w:lineRule="exact"/>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535" w:type="dxa"/>
            <w:vAlign w:val="center"/>
          </w:tcPr>
          <w:p>
            <w:pPr>
              <w:spacing w:line="400" w:lineRule="exact"/>
              <w:jc w:val="center"/>
              <w:rPr>
                <w:rFonts w:hint="eastAsia" w:eastAsia="宋体"/>
                <w:color w:val="auto"/>
                <w:lang w:val="en-US" w:eastAsia="zh-CN"/>
              </w:rPr>
            </w:pPr>
            <w:r>
              <w:rPr>
                <w:rFonts w:hint="eastAsia"/>
                <w:color w:val="auto"/>
                <w:lang w:val="en-US" w:eastAsia="zh-CN"/>
              </w:rPr>
              <w:t>5</w:t>
            </w:r>
          </w:p>
        </w:tc>
        <w:tc>
          <w:tcPr>
            <w:tcW w:w="1149" w:type="dxa"/>
            <w:vAlign w:val="center"/>
          </w:tcPr>
          <w:p>
            <w:pPr>
              <w:spacing w:line="400" w:lineRule="exact"/>
              <w:jc w:val="center"/>
              <w:rPr>
                <w:color w:val="auto"/>
              </w:rPr>
            </w:pPr>
          </w:p>
        </w:tc>
        <w:tc>
          <w:tcPr>
            <w:tcW w:w="1306" w:type="dxa"/>
            <w:vAlign w:val="center"/>
          </w:tcPr>
          <w:p>
            <w:pPr>
              <w:spacing w:line="400" w:lineRule="exact"/>
              <w:jc w:val="center"/>
              <w:rPr>
                <w:color w:val="auto"/>
              </w:rPr>
            </w:pPr>
          </w:p>
        </w:tc>
        <w:tc>
          <w:tcPr>
            <w:tcW w:w="1588" w:type="dxa"/>
            <w:vAlign w:val="center"/>
          </w:tcPr>
          <w:p>
            <w:pPr>
              <w:spacing w:line="400" w:lineRule="exact"/>
              <w:jc w:val="center"/>
              <w:rPr>
                <w:color w:val="auto"/>
              </w:rPr>
            </w:pPr>
          </w:p>
        </w:tc>
        <w:tc>
          <w:tcPr>
            <w:tcW w:w="1136" w:type="dxa"/>
            <w:vAlign w:val="center"/>
          </w:tcPr>
          <w:p>
            <w:pPr>
              <w:spacing w:line="400" w:lineRule="exact"/>
              <w:jc w:val="center"/>
              <w:rPr>
                <w:color w:val="auto"/>
              </w:rPr>
            </w:pPr>
          </w:p>
        </w:tc>
        <w:tc>
          <w:tcPr>
            <w:tcW w:w="1712" w:type="dxa"/>
            <w:vAlign w:val="center"/>
          </w:tcPr>
          <w:p>
            <w:pPr>
              <w:spacing w:line="400" w:lineRule="exact"/>
              <w:jc w:val="center"/>
              <w:rPr>
                <w:color w:val="auto"/>
              </w:rPr>
            </w:pPr>
          </w:p>
        </w:tc>
        <w:tc>
          <w:tcPr>
            <w:tcW w:w="1934" w:type="dxa"/>
            <w:vAlign w:val="center"/>
          </w:tcPr>
          <w:p>
            <w:pPr>
              <w:spacing w:line="400" w:lineRule="exact"/>
              <w:jc w:val="center"/>
              <w:rPr>
                <w:color w:val="auto"/>
              </w:rPr>
            </w:pPr>
          </w:p>
        </w:tc>
      </w:tr>
    </w:tbl>
    <w:p>
      <w:pPr>
        <w:adjustRightInd w:val="0"/>
        <w:snapToGrid w:val="0"/>
        <w:spacing w:line="360" w:lineRule="auto"/>
        <w:rPr>
          <w:rFonts w:ascii="宋体" w:hAnsi="宋体"/>
          <w:color w:val="auto"/>
          <w:sz w:val="24"/>
        </w:rPr>
      </w:pPr>
      <w:r>
        <w:rPr>
          <w:rFonts w:hint="eastAsia"/>
          <w:bCs/>
          <w:color w:val="auto"/>
        </w:rPr>
        <w:t>备注：请附上：</w:t>
      </w:r>
      <w:r>
        <w:rPr>
          <w:bCs/>
          <w:color w:val="auto"/>
        </w:rPr>
        <w:fldChar w:fldCharType="begin"/>
      </w:r>
      <w:r>
        <w:rPr>
          <w:bCs/>
          <w:color w:val="auto"/>
        </w:rPr>
        <w:instrText xml:space="preserve"> </w:instrText>
      </w:r>
      <w:r>
        <w:rPr>
          <w:rFonts w:hint="eastAsia"/>
          <w:bCs/>
          <w:color w:val="auto"/>
        </w:rPr>
        <w:instrText xml:space="preserve">= 1 \* GB3</w:instrText>
      </w:r>
      <w:r>
        <w:rPr>
          <w:bCs/>
          <w:color w:val="auto"/>
        </w:rPr>
        <w:instrText xml:space="preserve"> </w:instrText>
      </w:r>
      <w:r>
        <w:rPr>
          <w:bCs/>
          <w:color w:val="auto"/>
        </w:rPr>
        <w:fldChar w:fldCharType="separate"/>
      </w:r>
      <w:r>
        <w:rPr>
          <w:rFonts w:hint="eastAsia"/>
          <w:bCs/>
          <w:color w:val="auto"/>
        </w:rPr>
        <w:t>①</w:t>
      </w:r>
      <w:r>
        <w:rPr>
          <w:bCs/>
          <w:color w:val="auto"/>
        </w:rPr>
        <w:fldChar w:fldCharType="end"/>
      </w:r>
      <w:r>
        <w:rPr>
          <w:rFonts w:hint="eastAsia"/>
          <w:bCs/>
          <w:color w:val="auto"/>
        </w:rPr>
        <w:t>中标通知书</w:t>
      </w:r>
      <w:r>
        <w:rPr>
          <w:rFonts w:hint="eastAsia"/>
          <w:bCs/>
          <w:color w:val="auto"/>
          <w:lang w:eastAsia="zh-CN"/>
        </w:rPr>
        <w:t>（</w:t>
      </w:r>
      <w:r>
        <w:rPr>
          <w:rFonts w:hint="eastAsia"/>
          <w:bCs/>
          <w:color w:val="auto"/>
          <w:lang w:val="en-US" w:eastAsia="zh-CN"/>
        </w:rPr>
        <w:t>如有</w:t>
      </w:r>
      <w:r>
        <w:rPr>
          <w:rFonts w:hint="eastAsia"/>
          <w:bCs/>
          <w:color w:val="auto"/>
          <w:lang w:eastAsia="zh-CN"/>
        </w:rPr>
        <w:t>）</w:t>
      </w:r>
      <w:r>
        <w:rPr>
          <w:rFonts w:hint="eastAsia"/>
          <w:bCs/>
          <w:color w:val="auto"/>
        </w:rPr>
        <w:t>、</w:t>
      </w:r>
      <w:r>
        <w:rPr>
          <w:bCs/>
          <w:color w:val="auto"/>
        </w:rPr>
        <w:fldChar w:fldCharType="begin"/>
      </w:r>
      <w:r>
        <w:rPr>
          <w:bCs/>
          <w:color w:val="auto"/>
        </w:rPr>
        <w:instrText xml:space="preserve"> </w:instrText>
      </w:r>
      <w:r>
        <w:rPr>
          <w:rFonts w:hint="eastAsia"/>
          <w:bCs/>
          <w:color w:val="auto"/>
        </w:rPr>
        <w:instrText xml:space="preserve">= 2 \* GB3</w:instrText>
      </w:r>
      <w:r>
        <w:rPr>
          <w:bCs/>
          <w:color w:val="auto"/>
        </w:rPr>
        <w:instrText xml:space="preserve"> </w:instrText>
      </w:r>
      <w:r>
        <w:rPr>
          <w:bCs/>
          <w:color w:val="auto"/>
        </w:rPr>
        <w:fldChar w:fldCharType="separate"/>
      </w:r>
      <w:r>
        <w:rPr>
          <w:rFonts w:hint="eastAsia"/>
          <w:bCs/>
          <w:color w:val="auto"/>
        </w:rPr>
        <w:t>②</w:t>
      </w:r>
      <w:r>
        <w:rPr>
          <w:bCs/>
          <w:color w:val="auto"/>
        </w:rPr>
        <w:fldChar w:fldCharType="end"/>
      </w:r>
      <w:r>
        <w:rPr>
          <w:rFonts w:hint="eastAsia"/>
          <w:bCs/>
          <w:color w:val="auto"/>
        </w:rPr>
        <w:t>验收报告、</w:t>
      </w:r>
      <w:r>
        <w:rPr>
          <w:bCs/>
          <w:color w:val="auto"/>
        </w:rPr>
        <w:fldChar w:fldCharType="begin"/>
      </w:r>
      <w:r>
        <w:rPr>
          <w:bCs/>
          <w:color w:val="auto"/>
        </w:rPr>
        <w:instrText xml:space="preserve"> </w:instrText>
      </w:r>
      <w:r>
        <w:rPr>
          <w:rFonts w:hint="eastAsia"/>
          <w:bCs/>
          <w:color w:val="auto"/>
        </w:rPr>
        <w:instrText xml:space="preserve">= 3 \* GB3</w:instrText>
      </w:r>
      <w:r>
        <w:rPr>
          <w:bCs/>
          <w:color w:val="auto"/>
        </w:rPr>
        <w:instrText xml:space="preserve"> </w:instrText>
      </w:r>
      <w:r>
        <w:rPr>
          <w:bCs/>
          <w:color w:val="auto"/>
        </w:rPr>
        <w:fldChar w:fldCharType="separate"/>
      </w:r>
      <w:r>
        <w:rPr>
          <w:rFonts w:hint="eastAsia"/>
          <w:bCs/>
          <w:color w:val="auto"/>
        </w:rPr>
        <w:t>③</w:t>
      </w:r>
      <w:r>
        <w:rPr>
          <w:bCs/>
          <w:color w:val="auto"/>
        </w:rPr>
        <w:fldChar w:fldCharType="end"/>
      </w:r>
      <w:r>
        <w:rPr>
          <w:rFonts w:hint="eastAsia"/>
          <w:bCs/>
          <w:color w:val="auto"/>
        </w:rPr>
        <w:t>合同关键页（合同关键页含签订合同双方的单位名称、合同项目名称、项目金额与含签订合同双方的落款盖章、签订日期的关键页）复印件作为证明材料。</w:t>
      </w:r>
    </w:p>
    <w:p>
      <w:pPr>
        <w:spacing w:line="500" w:lineRule="exact"/>
        <w:rPr>
          <w:rFonts w:ascii="宋体" w:hAnsi="宋体"/>
          <w:color w:val="auto"/>
          <w:sz w:val="24"/>
        </w:rPr>
      </w:pPr>
    </w:p>
    <w:p>
      <w:pPr>
        <w:spacing w:line="500" w:lineRule="exact"/>
        <w:rPr>
          <w:rFonts w:ascii="宋体" w:hAnsi="宋体"/>
          <w:color w:val="auto"/>
          <w:u w:val="single"/>
        </w:rPr>
      </w:pPr>
      <w:r>
        <w:rPr>
          <w:rFonts w:hint="eastAsia"/>
          <w:color w:val="auto"/>
          <w:spacing w:val="4"/>
        </w:rPr>
        <w:t>竞选人名称（盖公章）：</w:t>
      </w:r>
      <w:r>
        <w:rPr>
          <w:rFonts w:hint="eastAsia"/>
          <w:color w:val="auto"/>
          <w:spacing w:val="4"/>
          <w:u w:val="single"/>
        </w:rPr>
        <w:t xml:space="preserve">                             </w:t>
      </w:r>
    </w:p>
    <w:p>
      <w:pPr>
        <w:rPr>
          <w:color w:val="auto"/>
          <w:spacing w:val="4"/>
        </w:rPr>
      </w:pPr>
    </w:p>
    <w:p>
      <w:pPr>
        <w:spacing w:line="520" w:lineRule="exact"/>
        <w:rPr>
          <w:color w:val="auto"/>
          <w:spacing w:val="4"/>
        </w:rPr>
      </w:pPr>
      <w:r>
        <w:rPr>
          <w:rFonts w:hint="eastAsia" w:ascii="宋体"/>
          <w:color w:val="auto"/>
        </w:rPr>
        <w:t>法定代表人或</w:t>
      </w:r>
      <w:r>
        <w:rPr>
          <w:rFonts w:hint="eastAsia" w:ascii="宋体" w:hAnsi="宋体"/>
          <w:color w:val="auto"/>
        </w:rPr>
        <w:t>竞选人授权代表（签名或盖章）：</w:t>
      </w:r>
      <w:r>
        <w:rPr>
          <w:color w:val="auto"/>
          <w:spacing w:val="4"/>
          <w:u w:val="single"/>
        </w:rPr>
        <w:t xml:space="preserve">             </w:t>
      </w:r>
      <w:r>
        <w:rPr>
          <w:color w:val="auto"/>
          <w:spacing w:val="4"/>
        </w:rPr>
        <w:t xml:space="preserve"> </w:t>
      </w:r>
      <w:r>
        <w:rPr>
          <w:rFonts w:hint="eastAsia"/>
          <w:color w:val="auto"/>
          <w:spacing w:val="4"/>
        </w:rPr>
        <w:t>职务：</w:t>
      </w:r>
      <w:r>
        <w:rPr>
          <w:color w:val="auto"/>
          <w:spacing w:val="4"/>
          <w:u w:val="single"/>
        </w:rPr>
        <w:t xml:space="preserve">        </w:t>
      </w:r>
      <w:r>
        <w:rPr>
          <w:color w:val="auto"/>
          <w:spacing w:val="4"/>
        </w:rPr>
        <w:t xml:space="preserve"> </w:t>
      </w:r>
      <w:r>
        <w:rPr>
          <w:rFonts w:hint="eastAsia"/>
          <w:color w:val="auto"/>
          <w:spacing w:val="4"/>
        </w:rPr>
        <w:t>日期</w:t>
      </w:r>
      <w:r>
        <w:rPr>
          <w:color w:val="auto"/>
          <w:spacing w:val="4"/>
          <w:u w:val="single"/>
        </w:rPr>
        <w:t xml:space="preserve">         </w:t>
      </w:r>
    </w:p>
    <w:p>
      <w:pPr>
        <w:pStyle w:val="10"/>
        <w:spacing w:line="300" w:lineRule="auto"/>
        <w:rPr>
          <w:rFonts w:asciiTheme="minorEastAsia" w:hAnsiTheme="minorEastAsia" w:eastAsiaTheme="minorEastAsia" w:cstheme="minorEastAsia"/>
          <w:color w:val="auto"/>
          <w:szCs w:val="21"/>
        </w:rPr>
      </w:pPr>
    </w:p>
    <w:p>
      <w:pPr>
        <w:pStyle w:val="10"/>
        <w:spacing w:line="300" w:lineRule="auto"/>
        <w:rPr>
          <w:rFonts w:asciiTheme="minorEastAsia" w:hAnsiTheme="minorEastAsia" w:eastAsiaTheme="minorEastAsia" w:cstheme="minorEastAsia"/>
          <w:szCs w:val="21"/>
        </w:rPr>
      </w:pPr>
    </w:p>
    <w:p>
      <w:pPr>
        <w:widowControl/>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snapToGrid w:val="0"/>
        <w:spacing w:before="240"/>
        <w:outlineLvl w:val="1"/>
        <w:rPr>
          <w:rFonts w:hint="eastAsia" w:asciiTheme="minorEastAsia" w:hAnsiTheme="minorEastAsia" w:eastAsiaTheme="minorEastAsia" w:cstheme="minorEastAsia"/>
          <w:color w:val="auto"/>
          <w:szCs w:val="21"/>
        </w:rPr>
      </w:pPr>
      <w:bookmarkStart w:id="445" w:name="_Toc32130_WPSOffice_Level1"/>
      <w:bookmarkStart w:id="446" w:name="_Toc2341672"/>
      <w:bookmarkStart w:id="447" w:name="_Toc2341759"/>
      <w:bookmarkStart w:id="448" w:name="_Toc2341352"/>
      <w:bookmarkStart w:id="449" w:name="_Toc32346"/>
      <w:bookmarkStart w:id="450" w:name="_Toc2341921"/>
      <w:bookmarkStart w:id="451" w:name="_Toc3019"/>
      <w:bookmarkStart w:id="452" w:name="_Toc13592"/>
      <w:bookmarkStart w:id="453" w:name="_Toc334797776"/>
      <w:bookmarkStart w:id="454" w:name="_Toc27964"/>
      <w:bookmarkStart w:id="455" w:name="_Toc10780"/>
      <w:bookmarkStart w:id="456" w:name="_Toc533236402"/>
      <w:bookmarkStart w:id="457" w:name="_Toc238282344"/>
      <w:bookmarkStart w:id="458" w:name="_Toc228899514"/>
      <w:bookmarkStart w:id="459" w:name="_Toc224435734"/>
      <w:bookmarkStart w:id="460" w:name="_Toc42951056"/>
      <w:bookmarkStart w:id="461" w:name="_Toc223939114"/>
      <w:bookmarkStart w:id="462" w:name="_Toc245819142"/>
      <w:bookmarkStart w:id="463" w:name="_Toc225565960"/>
      <w:bookmarkStart w:id="464" w:name="_Toc228644985"/>
      <w:r>
        <w:rPr>
          <w:rFonts w:hint="eastAsia" w:asciiTheme="minorEastAsia" w:hAnsiTheme="minorEastAsia" w:eastAsiaTheme="minorEastAsia" w:cstheme="minorEastAsia"/>
          <w:bCs/>
          <w:color w:val="auto"/>
          <w:sz w:val="24"/>
        </w:rPr>
        <w:t>格式</w:t>
      </w:r>
      <w:bookmarkStart w:id="465" w:name="_Toc52165084"/>
      <w:bookmarkStart w:id="466" w:name="_Toc186126019"/>
      <w:bookmarkStart w:id="467" w:name="_Toc50737300"/>
      <w:bookmarkStart w:id="468" w:name="_Toc50737332"/>
      <w:bookmarkStart w:id="469" w:name="_Toc309974227"/>
      <w:bookmarkStart w:id="470" w:name="_Toc50691042"/>
      <w:bookmarkStart w:id="471" w:name="_Toc50736480"/>
      <w:r>
        <w:rPr>
          <w:rFonts w:hint="eastAsia" w:asciiTheme="minorEastAsia" w:hAnsiTheme="minorEastAsia" w:eastAsiaTheme="minorEastAsia" w:cstheme="minorEastAsia"/>
          <w:bCs/>
          <w:color w:val="auto"/>
          <w:sz w:val="24"/>
          <w:lang w:val="en-US" w:eastAsia="zh-CN"/>
        </w:rPr>
        <w:t>8</w:t>
      </w:r>
      <w:r>
        <w:rPr>
          <w:rFonts w:hint="eastAsia" w:asciiTheme="minorEastAsia" w:hAnsiTheme="minorEastAsia" w:eastAsiaTheme="minorEastAsia" w:cstheme="minorEastAsia"/>
          <w:bCs/>
          <w:color w:val="auto"/>
          <w:sz w:val="24"/>
        </w:rPr>
        <w:t>：拟派本项目负责人及主要人员情况表</w:t>
      </w:r>
      <w:bookmarkEnd w:id="445"/>
      <w:bookmarkEnd w:id="446"/>
      <w:bookmarkEnd w:id="447"/>
      <w:bookmarkEnd w:id="448"/>
      <w:bookmarkEnd w:id="449"/>
      <w:bookmarkEnd w:id="450"/>
      <w:bookmarkEnd w:id="451"/>
      <w:bookmarkEnd w:id="452"/>
      <w:bookmarkEnd w:id="453"/>
      <w:bookmarkEnd w:id="454"/>
      <w:bookmarkEnd w:id="455"/>
      <w:bookmarkEnd w:id="456"/>
      <w:bookmarkEnd w:id="465"/>
      <w:bookmarkEnd w:id="466"/>
      <w:bookmarkEnd w:id="467"/>
      <w:bookmarkEnd w:id="468"/>
      <w:bookmarkEnd w:id="469"/>
      <w:bookmarkEnd w:id="470"/>
      <w:bookmarkEnd w:id="471"/>
    </w:p>
    <w:p>
      <w:pPr>
        <w:pStyle w:val="2"/>
        <w:rPr>
          <w:rFonts w:hint="eastAsia" w:asciiTheme="minorEastAsia" w:hAnsiTheme="minorEastAsia" w:eastAsiaTheme="minorEastAsia" w:cstheme="minorEastAsia"/>
          <w:szCs w:val="21"/>
        </w:rPr>
      </w:pPr>
    </w:p>
    <w:p>
      <w:pPr>
        <w:snapToGrid w:val="0"/>
        <w:spacing w:before="240"/>
        <w:jc w:val="center"/>
        <w:outlineLvl w:val="9"/>
        <w:rPr>
          <w:rFonts w:hint="eastAsia" w:ascii="黑体" w:hAnsi="黑体" w:eastAsia="黑体" w:cs="黑体"/>
          <w:b w:val="0"/>
          <w:bCs/>
          <w:color w:val="auto"/>
          <w:sz w:val="32"/>
          <w:szCs w:val="32"/>
        </w:rPr>
      </w:pPr>
      <w:bookmarkStart w:id="472" w:name="_Toc6062"/>
      <w:bookmarkStart w:id="473" w:name="_Toc23720"/>
      <w:bookmarkStart w:id="474" w:name="_Toc9941"/>
      <w:r>
        <w:rPr>
          <w:rFonts w:hint="eastAsia" w:ascii="黑体" w:hAnsi="黑体" w:eastAsia="黑体" w:cs="黑体"/>
          <w:b w:val="0"/>
          <w:bCs/>
          <w:color w:val="auto"/>
          <w:sz w:val="32"/>
          <w:szCs w:val="32"/>
        </w:rPr>
        <w:t>拟派本项目负责人及主要人员情况表</w:t>
      </w:r>
      <w:bookmarkEnd w:id="472"/>
      <w:bookmarkEnd w:id="473"/>
      <w:bookmarkEnd w:id="474"/>
    </w:p>
    <w:p>
      <w:pPr>
        <w:spacing w:line="360" w:lineRule="auto"/>
        <w:rPr>
          <w:rFonts w:hint="eastAsia" w:asciiTheme="minorEastAsia" w:hAnsiTheme="minorEastAsia" w:eastAsiaTheme="minorEastAsia" w:cstheme="minorEastAsia"/>
          <w:color w:val="auto"/>
          <w:sz w:val="21"/>
          <w:szCs w:val="21"/>
        </w:rPr>
      </w:pPr>
    </w:p>
    <w:p>
      <w:pPr>
        <w:spacing w:line="360" w:lineRule="auto"/>
        <w:rPr>
          <w:rFonts w:hint="eastAsia" w:asciiTheme="minorEastAsia" w:hAnsiTheme="minorEastAsia" w:eastAsiaTheme="minorEastAsia" w:cstheme="minorEastAsia"/>
          <w:color w:val="auto"/>
          <w:kern w:val="28"/>
          <w:sz w:val="21"/>
          <w:szCs w:val="21"/>
        </w:rPr>
      </w:pPr>
      <w:r>
        <w:rPr>
          <w:rFonts w:hint="eastAsia" w:asciiTheme="minorEastAsia" w:hAnsiTheme="minorEastAsia" w:eastAsiaTheme="minorEastAsia" w:cstheme="minorEastAsia"/>
          <w:color w:val="auto"/>
          <w:sz w:val="21"/>
          <w:szCs w:val="21"/>
        </w:rPr>
        <w:t>项目名称</w:t>
      </w:r>
      <w:r>
        <w:rPr>
          <w:rFonts w:hint="eastAsia" w:asciiTheme="minorEastAsia" w:hAnsiTheme="minorEastAsia" w:eastAsiaTheme="minorEastAsia" w:cstheme="minorEastAsia"/>
          <w:color w:val="auto"/>
          <w:kern w:val="28"/>
          <w:sz w:val="21"/>
          <w:szCs w:val="21"/>
        </w:rPr>
        <w:t>：</w:t>
      </w:r>
      <w:r>
        <w:rPr>
          <w:rFonts w:hint="eastAsia" w:asciiTheme="minorEastAsia" w:hAnsiTheme="minorEastAsia" w:eastAsiaTheme="minorEastAsia" w:cstheme="minorEastAsia"/>
          <w:color w:val="auto"/>
          <w:kern w:val="28"/>
          <w:sz w:val="21"/>
          <w:szCs w:val="21"/>
          <w:u w:val="single"/>
        </w:rPr>
        <w:t xml:space="preserve">                                                           </w:t>
      </w:r>
    </w:p>
    <w:p>
      <w:pPr>
        <w:spacing w:after="240" w:line="36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项目编号：</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bCs/>
          <w:color w:val="auto"/>
          <w:sz w:val="21"/>
          <w:szCs w:val="21"/>
          <w:u w:val="single"/>
        </w:rPr>
        <w:t xml:space="preserve">                       </w:t>
      </w:r>
      <w:r>
        <w:rPr>
          <w:rFonts w:hint="eastAsia" w:asciiTheme="minorEastAsia" w:hAnsiTheme="minorEastAsia" w:eastAsiaTheme="minorEastAsia" w:cstheme="minorEastAsia"/>
          <w:bCs/>
          <w:color w:val="auto"/>
          <w:sz w:val="21"/>
          <w:szCs w:val="21"/>
          <w:u w:val="single"/>
          <w:lang w:val="en-US" w:eastAsia="zh-CN"/>
        </w:rPr>
        <w:t xml:space="preserve">                                   </w:t>
      </w:r>
    </w:p>
    <w:tbl>
      <w:tblPr>
        <w:tblStyle w:val="21"/>
        <w:tblW w:w="89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60"/>
        <w:gridCol w:w="675"/>
        <w:gridCol w:w="720"/>
        <w:gridCol w:w="720"/>
        <w:gridCol w:w="1200"/>
        <w:gridCol w:w="1301"/>
        <w:gridCol w:w="1170"/>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663" w:type="dxa"/>
            <w:tcBorders>
              <w:top w:val="single" w:color="auto" w:sz="12" w:space="0"/>
              <w:left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序号</w:t>
            </w:r>
          </w:p>
        </w:tc>
        <w:tc>
          <w:tcPr>
            <w:tcW w:w="960" w:type="dxa"/>
            <w:tcBorders>
              <w:top w:val="single" w:color="auto" w:sz="12" w:space="0"/>
            </w:tcBorders>
            <w:shd w:val="clear" w:color="auto" w:fill="D0CECE" w:themeFill="background2" w:themeFillShade="E6"/>
            <w:vAlign w:val="center"/>
          </w:tcPr>
          <w:p>
            <w:pPr>
              <w:pStyle w:val="22"/>
              <w:keepNext w:val="0"/>
              <w:adjustRightInd/>
              <w:snapToGrid w:val="0"/>
              <w:spacing w:before="0" w:after="0" w:line="240" w:lineRule="auto"/>
              <w:textAlignment w:val="auto"/>
              <w:rPr>
                <w:rFonts w:hint="eastAsia" w:asciiTheme="minorEastAsia" w:hAnsiTheme="minorEastAsia" w:eastAsiaTheme="minorEastAsia" w:cstheme="minorEastAsia"/>
                <w:b/>
                <w:color w:val="auto"/>
                <w:spacing w:val="0"/>
                <w:kern w:val="2"/>
                <w:sz w:val="21"/>
                <w:szCs w:val="21"/>
              </w:rPr>
            </w:pPr>
            <w:r>
              <w:rPr>
                <w:rFonts w:hint="eastAsia" w:asciiTheme="minorEastAsia" w:hAnsiTheme="minorEastAsia" w:eastAsiaTheme="minorEastAsia" w:cstheme="minorEastAsia"/>
                <w:b/>
                <w:color w:val="auto"/>
                <w:spacing w:val="0"/>
                <w:kern w:val="2"/>
                <w:sz w:val="21"/>
                <w:szCs w:val="21"/>
              </w:rPr>
              <w:t>姓名</w:t>
            </w:r>
          </w:p>
        </w:tc>
        <w:tc>
          <w:tcPr>
            <w:tcW w:w="675" w:type="dxa"/>
            <w:tcBorders>
              <w:top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性别</w:t>
            </w:r>
          </w:p>
        </w:tc>
        <w:tc>
          <w:tcPr>
            <w:tcW w:w="720" w:type="dxa"/>
            <w:tcBorders>
              <w:top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年龄</w:t>
            </w:r>
          </w:p>
        </w:tc>
        <w:tc>
          <w:tcPr>
            <w:tcW w:w="720" w:type="dxa"/>
            <w:tcBorders>
              <w:top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学历</w:t>
            </w:r>
          </w:p>
        </w:tc>
        <w:tc>
          <w:tcPr>
            <w:tcW w:w="1200" w:type="dxa"/>
            <w:tcBorders>
              <w:top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职称</w:t>
            </w:r>
          </w:p>
        </w:tc>
        <w:tc>
          <w:tcPr>
            <w:tcW w:w="1301" w:type="dxa"/>
            <w:tcBorders>
              <w:top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专业</w:t>
            </w:r>
          </w:p>
        </w:tc>
        <w:tc>
          <w:tcPr>
            <w:tcW w:w="1170" w:type="dxa"/>
            <w:tcBorders>
              <w:top w:val="single" w:color="auto" w:sz="12" w:space="0"/>
              <w:right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经验年限</w:t>
            </w:r>
          </w:p>
        </w:tc>
        <w:tc>
          <w:tcPr>
            <w:tcW w:w="1549" w:type="dxa"/>
            <w:tcBorders>
              <w:top w:val="single" w:color="auto" w:sz="12" w:space="0"/>
              <w:right w:val="single" w:color="auto" w:sz="12" w:space="0"/>
            </w:tcBorders>
            <w:shd w:val="clear" w:color="auto" w:fill="D0CECE" w:themeFill="background2" w:themeFillShade="E6"/>
            <w:vAlign w:val="center"/>
          </w:tcPr>
          <w:p>
            <w:pPr>
              <w:snapToGrid w:val="0"/>
              <w:jc w:val="center"/>
              <w:rPr>
                <w:rFonts w:hint="eastAsia" w:asciiTheme="minorEastAsia" w:hAnsiTheme="minorEastAsia" w:eastAsiaTheme="minorEastAsia" w:cstheme="minorEastAsia"/>
                <w:b/>
                <w:color w:val="auto"/>
                <w:sz w:val="21"/>
                <w:szCs w:val="21"/>
                <w:lang w:eastAsia="zh-CN"/>
              </w:rPr>
            </w:pPr>
            <w:r>
              <w:rPr>
                <w:rFonts w:hint="eastAsia" w:asciiTheme="minorEastAsia" w:hAnsiTheme="minorEastAsia" w:eastAsiaTheme="minorEastAsia" w:cstheme="minorEastAsia"/>
                <w:b/>
                <w:color w:val="auto"/>
                <w:sz w:val="21"/>
                <w:szCs w:val="21"/>
                <w:lang w:eastAsia="zh-CN"/>
              </w:rPr>
              <w:t>拟担任职务或承担工作内容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663" w:type="dxa"/>
            <w:tcBorders>
              <w:left w:val="single" w:color="auto" w:sz="12" w:space="0"/>
              <w:bottom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960" w:type="dxa"/>
            <w:tcBorders>
              <w:bottom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p>
        </w:tc>
        <w:tc>
          <w:tcPr>
            <w:tcW w:w="675" w:type="dxa"/>
            <w:tcBorders>
              <w:bottom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p>
        </w:tc>
        <w:tc>
          <w:tcPr>
            <w:tcW w:w="720" w:type="dxa"/>
            <w:tcBorders>
              <w:bottom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p>
        </w:tc>
        <w:tc>
          <w:tcPr>
            <w:tcW w:w="720" w:type="dxa"/>
            <w:tcBorders>
              <w:bottom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p>
        </w:tc>
        <w:tc>
          <w:tcPr>
            <w:tcW w:w="1200" w:type="dxa"/>
            <w:tcBorders>
              <w:bottom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p>
        </w:tc>
        <w:tc>
          <w:tcPr>
            <w:tcW w:w="1301" w:type="dxa"/>
            <w:tcBorders>
              <w:bottom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p>
        </w:tc>
        <w:tc>
          <w:tcPr>
            <w:tcW w:w="1170" w:type="dxa"/>
            <w:tcBorders>
              <w:bottom w:val="single" w:color="auto" w:sz="12" w:space="0"/>
              <w:right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p>
        </w:tc>
        <w:tc>
          <w:tcPr>
            <w:tcW w:w="1549" w:type="dxa"/>
            <w:tcBorders>
              <w:bottom w:val="single" w:color="auto" w:sz="12" w:space="0"/>
              <w:right w:val="single" w:color="auto" w:sz="12" w:space="0"/>
            </w:tcBorders>
            <w:vAlign w:val="center"/>
          </w:tcPr>
          <w:p>
            <w:pPr>
              <w:spacing w:line="240" w:lineRule="exact"/>
              <w:jc w:val="center"/>
              <w:rPr>
                <w:rFonts w:hint="eastAsia" w:asciiTheme="minorEastAsia" w:hAnsiTheme="minorEastAsia" w:eastAsiaTheme="minorEastAsia" w:cstheme="minorEastAsia"/>
                <w:color w:val="auto"/>
                <w:sz w:val="21"/>
                <w:szCs w:val="21"/>
              </w:rPr>
            </w:pPr>
          </w:p>
        </w:tc>
      </w:tr>
    </w:tbl>
    <w:p>
      <w:pPr>
        <w:spacing w:before="240" w:line="300" w:lineRule="auto"/>
        <w:ind w:left="482" w:hanging="422" w:hangingChars="200"/>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
          <w:bCs/>
          <w:color w:val="auto"/>
          <w:sz w:val="21"/>
          <w:szCs w:val="21"/>
        </w:rPr>
        <w:t>注：</w:t>
      </w:r>
      <w:r>
        <w:rPr>
          <w:rFonts w:hint="eastAsia" w:asciiTheme="minorEastAsia" w:hAnsiTheme="minorEastAsia" w:eastAsiaTheme="minorEastAsia" w:cstheme="minorEastAsia"/>
          <w:bCs/>
          <w:color w:val="auto"/>
          <w:sz w:val="21"/>
          <w:szCs w:val="21"/>
        </w:rPr>
        <w:t>可自行增加上表行数。</w:t>
      </w:r>
      <w:r>
        <w:rPr>
          <w:rFonts w:hint="eastAsia" w:asciiTheme="minorEastAsia" w:hAnsiTheme="minorEastAsia" w:eastAsiaTheme="minorEastAsia" w:cstheme="minorEastAsia"/>
          <w:bCs/>
          <w:color w:val="auto"/>
          <w:sz w:val="21"/>
          <w:szCs w:val="21"/>
          <w:highlight w:val="none"/>
        </w:rPr>
        <w:t>响应人如有的，应附上有关个人学历等证明文件（复印件）。</w:t>
      </w:r>
    </w:p>
    <w:p>
      <w:pPr>
        <w:spacing w:line="600" w:lineRule="auto"/>
        <w:rPr>
          <w:rFonts w:hint="eastAsia" w:asciiTheme="minorEastAsia" w:hAnsiTheme="minorEastAsia" w:eastAsiaTheme="minorEastAsia" w:cstheme="minorEastAsia"/>
          <w:color w:val="auto"/>
          <w:sz w:val="21"/>
          <w:szCs w:val="21"/>
        </w:rPr>
      </w:pPr>
    </w:p>
    <w:p>
      <w:pPr>
        <w:spacing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响应人全称: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 xml:space="preserve"> （加盖公章）</w:t>
      </w:r>
    </w:p>
    <w:p>
      <w:pPr>
        <w:tabs>
          <w:tab w:val="left" w:pos="4500"/>
        </w:tabs>
        <w:spacing w:line="60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法定代表人或其响应人授权代表(签字)：                                 </w:t>
      </w:r>
    </w:p>
    <w:p>
      <w:pPr>
        <w:tabs>
          <w:tab w:val="left" w:pos="4500"/>
        </w:tabs>
        <w:spacing w:line="600" w:lineRule="auto"/>
        <w:jc w:val="righ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年    月    日</w:t>
      </w:r>
    </w:p>
    <w:p>
      <w:pPr>
        <w:spacing w:line="300" w:lineRule="auto"/>
        <w:rPr>
          <w:rFonts w:hint="eastAsia" w:asciiTheme="minorEastAsia" w:hAnsiTheme="minorEastAsia" w:eastAsiaTheme="minorEastAsia" w:cstheme="minorEastAsia"/>
          <w:bCs/>
          <w:color w:val="auto"/>
          <w:sz w:val="21"/>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pStyle w:val="3"/>
        <w:rPr>
          <w:rFonts w:hint="eastAsia" w:asciiTheme="minorEastAsia" w:hAnsiTheme="minorEastAsia" w:eastAsiaTheme="minorEastAsia" w:cstheme="minorEastAsia"/>
          <w:szCs w:val="21"/>
        </w:rPr>
      </w:pPr>
    </w:p>
    <w:p>
      <w:pPr>
        <w:widowControl/>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br w:type="page"/>
      </w:r>
    </w:p>
    <w:bookmarkEnd w:id="351"/>
    <w:bookmarkEnd w:id="457"/>
    <w:bookmarkEnd w:id="458"/>
    <w:bookmarkEnd w:id="459"/>
    <w:bookmarkEnd w:id="460"/>
    <w:bookmarkEnd w:id="461"/>
    <w:bookmarkEnd w:id="462"/>
    <w:bookmarkEnd w:id="463"/>
    <w:bookmarkEnd w:id="464"/>
    <w:p>
      <w:pPr>
        <w:adjustRightInd w:val="0"/>
        <w:snapToGrid w:val="0"/>
        <w:spacing w:beforeLines="50" w:afterLines="50" w:line="360" w:lineRule="auto"/>
        <w:jc w:val="center"/>
        <w:outlineLvl w:val="0"/>
        <w:rPr>
          <w:rFonts w:asciiTheme="minorEastAsia" w:hAnsiTheme="minorEastAsia" w:eastAsiaTheme="minorEastAsia" w:cstheme="minorEastAsia"/>
          <w:b/>
          <w:bCs/>
          <w:sz w:val="28"/>
          <w:szCs w:val="28"/>
        </w:rPr>
      </w:pPr>
      <w:bookmarkStart w:id="475" w:name="_Toc6026_WPSOffice_Level1"/>
      <w:bookmarkStart w:id="476" w:name="_Toc438222738"/>
      <w:bookmarkStart w:id="477" w:name="_Toc15459"/>
      <w:bookmarkStart w:id="478" w:name="_Toc435109307"/>
      <w:bookmarkStart w:id="479" w:name="_Toc1389"/>
      <w:bookmarkStart w:id="480" w:name="_Toc435514850"/>
      <w:bookmarkStart w:id="481" w:name="_Toc16394"/>
      <w:bookmarkStart w:id="482" w:name="_Toc81"/>
      <w:bookmarkStart w:id="483" w:name="_Toc1209_WPSOffice_Level1"/>
      <w:bookmarkStart w:id="484" w:name="_Toc435115055"/>
      <w:bookmarkStart w:id="485" w:name="_Toc275865604"/>
      <w:bookmarkStart w:id="486" w:name="_Toc3841_WPSOffice_Level1"/>
      <w:r>
        <w:rPr>
          <w:rFonts w:hint="eastAsia" w:asciiTheme="minorEastAsia" w:hAnsiTheme="minorEastAsia" w:eastAsiaTheme="minorEastAsia" w:cstheme="minorEastAsia"/>
          <w:b/>
          <w:bCs/>
          <w:sz w:val="28"/>
          <w:szCs w:val="28"/>
        </w:rPr>
        <w:t>第六章 合同通用条款</w:t>
      </w:r>
      <w:bookmarkEnd w:id="475"/>
      <w:bookmarkEnd w:id="476"/>
      <w:bookmarkEnd w:id="477"/>
      <w:bookmarkEnd w:id="478"/>
      <w:bookmarkEnd w:id="479"/>
      <w:bookmarkEnd w:id="480"/>
      <w:bookmarkEnd w:id="481"/>
      <w:bookmarkEnd w:id="482"/>
      <w:bookmarkEnd w:id="483"/>
      <w:bookmarkEnd w:id="484"/>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法定代表人：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联系人：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电子邮箱：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 </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p>
      <w:pPr>
        <w:spacing w:line="360" w:lineRule="auto"/>
        <w:ind w:left="48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电子邮箱：</w:t>
      </w:r>
    </w:p>
    <w:p>
      <w:pPr>
        <w:pStyle w:val="2"/>
        <w:spacing w:line="360" w:lineRule="auto"/>
      </w:pPr>
    </w:p>
    <w:p>
      <w:pPr>
        <w:pStyle w:val="27"/>
        <w:spacing w:line="360" w:lineRule="auto"/>
        <w:ind w:firstLineChars="0"/>
        <w:rPr>
          <w:rFonts w:ascii="宋体" w:hAnsi="宋体"/>
          <w:szCs w:val="21"/>
        </w:rPr>
      </w:pPr>
      <w:r>
        <w:rPr>
          <w:rFonts w:hint="eastAsia" w:ascii="宋体" w:hAnsi="宋体"/>
          <w:szCs w:val="21"/>
        </w:rPr>
        <w:t>根据</w:t>
      </w:r>
      <w:r>
        <w:rPr>
          <w:rFonts w:hint="eastAsia" w:ascii="宋体" w:hAnsi="宋体"/>
          <w:szCs w:val="21"/>
          <w:u w:val="single"/>
        </w:rPr>
        <w:t xml:space="preserve"> （项目名称）</w:t>
      </w:r>
      <w:r>
        <w:rPr>
          <w:rFonts w:hint="eastAsia" w:ascii="宋体" w:hAnsi="宋体"/>
          <w:szCs w:val="21"/>
        </w:rPr>
        <w:t xml:space="preserve"> 的采购结果，</w:t>
      </w:r>
      <w:r>
        <w:rPr>
          <w:rFonts w:hint="eastAsia" w:ascii="宋体" w:hAnsi="宋体"/>
          <w:b/>
          <w:kern w:val="28"/>
          <w:szCs w:val="21"/>
          <w:u w:val="single"/>
        </w:rPr>
        <w:t xml:space="preserve">广州检验检测认证集团有限公司 </w:t>
      </w:r>
      <w:r>
        <w:rPr>
          <w:rFonts w:hint="eastAsia" w:ascii="宋体" w:hAnsi="宋体"/>
          <w:kern w:val="28"/>
          <w:szCs w:val="21"/>
        </w:rPr>
        <w:t>（以下简称甲方）与</w:t>
      </w:r>
      <w:r>
        <w:rPr>
          <w:rFonts w:hint="eastAsia" w:ascii="宋体" w:hAnsi="宋体"/>
          <w:kern w:val="28"/>
          <w:szCs w:val="21"/>
          <w:u w:val="single"/>
        </w:rPr>
        <w:t xml:space="preserve">                      </w:t>
      </w:r>
      <w:r>
        <w:rPr>
          <w:rFonts w:hint="eastAsia" w:ascii="宋体" w:hAnsi="宋体"/>
          <w:kern w:val="28"/>
          <w:szCs w:val="21"/>
        </w:rPr>
        <w:t>（以下简称乙方）</w:t>
      </w:r>
      <w:r>
        <w:rPr>
          <w:rFonts w:hint="eastAsia" w:ascii="宋体" w:hAnsi="宋体"/>
          <w:szCs w:val="21"/>
        </w:rPr>
        <w:t>按照《中华人民共和国合同法》的规定，经双方协商，本着平等互利和诚实信用的原则，一致同意签订本合同如下：</w:t>
      </w:r>
    </w:p>
    <w:p>
      <w:pPr>
        <w:spacing w:before="180" w:line="360" w:lineRule="auto"/>
        <w:outlineLvl w:val="1"/>
        <w:rPr>
          <w:rFonts w:ascii="宋体" w:hAnsi="宋体"/>
          <w:b/>
          <w:szCs w:val="21"/>
        </w:rPr>
      </w:pPr>
      <w:bookmarkStart w:id="487" w:name="_Toc11392"/>
      <w:bookmarkStart w:id="488" w:name="_Toc21010"/>
      <w:r>
        <w:rPr>
          <w:rFonts w:hint="eastAsia" w:ascii="宋体" w:hAnsi="宋体"/>
          <w:b/>
          <w:szCs w:val="21"/>
        </w:rPr>
        <w:t>一、项目内容</w:t>
      </w:r>
      <w:bookmarkEnd w:id="487"/>
      <w:bookmarkEnd w:id="488"/>
    </w:p>
    <w:p>
      <w:pPr>
        <w:autoSpaceDE w:val="0"/>
        <w:autoSpaceDN w:val="0"/>
        <w:adjustRightInd w:val="0"/>
        <w:spacing w:line="360" w:lineRule="auto"/>
        <w:ind w:left="141"/>
        <w:rPr>
          <w:kern w:val="0"/>
          <w:szCs w:val="21"/>
        </w:rPr>
      </w:pPr>
      <w:r>
        <w:rPr>
          <w:rFonts w:hint="eastAsia"/>
          <w:kern w:val="0"/>
          <w:szCs w:val="21"/>
        </w:rPr>
        <w:t>1.1 乙方向甲方提供下列货物，项目合同总金额为￥</w:t>
      </w:r>
      <w:r>
        <w:rPr>
          <w:rFonts w:hint="eastAsia"/>
          <w:kern w:val="0"/>
          <w:szCs w:val="21"/>
          <w:u w:val="single"/>
        </w:rPr>
        <w:t xml:space="preserve">       </w:t>
      </w:r>
      <w:r>
        <w:rPr>
          <w:rFonts w:hint="eastAsia"/>
          <w:kern w:val="0"/>
          <w:szCs w:val="21"/>
        </w:rPr>
        <w:t>元（大写：</w:t>
      </w:r>
      <w:r>
        <w:rPr>
          <w:rFonts w:hint="eastAsia"/>
          <w:kern w:val="0"/>
          <w:szCs w:val="21"/>
          <w:u w:val="single"/>
        </w:rPr>
        <w:t xml:space="preserve">       </w:t>
      </w:r>
      <w:r>
        <w:rPr>
          <w:rFonts w:hint="eastAsia"/>
          <w:kern w:val="0"/>
          <w:szCs w:val="21"/>
        </w:rPr>
        <w:t>）人民币，合同金额已含税（含13%增值税专用发票）：</w:t>
      </w:r>
    </w:p>
    <w:tbl>
      <w:tblPr>
        <w:tblStyle w:val="21"/>
        <w:tblW w:w="91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78"/>
        <w:gridCol w:w="1446"/>
        <w:gridCol w:w="1022"/>
        <w:gridCol w:w="894"/>
        <w:gridCol w:w="752"/>
        <w:gridCol w:w="1168"/>
        <w:gridCol w:w="1135"/>
        <w:gridCol w:w="1041"/>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438" w:hRule="atLeast"/>
          <w:jc w:val="center"/>
        </w:trPr>
        <w:tc>
          <w:tcPr>
            <w:tcW w:w="678"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序号</w:t>
            </w:r>
          </w:p>
        </w:tc>
        <w:tc>
          <w:tcPr>
            <w:tcW w:w="1446"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名称</w:t>
            </w:r>
          </w:p>
        </w:tc>
        <w:tc>
          <w:tcPr>
            <w:tcW w:w="1022"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品牌型号</w:t>
            </w:r>
          </w:p>
        </w:tc>
        <w:tc>
          <w:tcPr>
            <w:tcW w:w="894"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厂家</w:t>
            </w:r>
          </w:p>
        </w:tc>
        <w:tc>
          <w:tcPr>
            <w:tcW w:w="752"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数量</w:t>
            </w:r>
          </w:p>
        </w:tc>
        <w:tc>
          <w:tcPr>
            <w:tcW w:w="1168"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不含税单价（元）</w:t>
            </w:r>
          </w:p>
        </w:tc>
        <w:tc>
          <w:tcPr>
            <w:tcW w:w="1135"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不含税总价（元）</w:t>
            </w:r>
          </w:p>
        </w:tc>
        <w:tc>
          <w:tcPr>
            <w:tcW w:w="1041"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税率</w:t>
            </w:r>
          </w:p>
        </w:tc>
        <w:tc>
          <w:tcPr>
            <w:tcW w:w="1018" w:type="dxa"/>
            <w:vAlign w:val="center"/>
          </w:tcPr>
          <w:p>
            <w:pPr>
              <w:autoSpaceDE w:val="0"/>
              <w:autoSpaceDN w:val="0"/>
              <w:adjustRightInd w:val="0"/>
              <w:spacing w:line="360" w:lineRule="auto"/>
              <w:jc w:val="center"/>
              <w:rPr>
                <w:rFonts w:ascii="宋体" w:hAnsi="宋体"/>
                <w:b/>
                <w:szCs w:val="21"/>
              </w:rPr>
            </w:pPr>
            <w:r>
              <w:rPr>
                <w:rFonts w:hint="eastAsia" w:ascii="宋体" w:hAnsi="宋体"/>
                <w:b/>
                <w:szCs w:val="21"/>
              </w:rPr>
              <w:t>含税总价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72" w:hRule="atLeast"/>
          <w:jc w:val="center"/>
        </w:trPr>
        <w:tc>
          <w:tcPr>
            <w:tcW w:w="678" w:type="dxa"/>
            <w:vAlign w:val="center"/>
          </w:tcPr>
          <w:p>
            <w:pPr>
              <w:autoSpaceDE w:val="0"/>
              <w:autoSpaceDN w:val="0"/>
              <w:adjustRightInd w:val="0"/>
              <w:spacing w:line="360" w:lineRule="auto"/>
              <w:jc w:val="center"/>
              <w:rPr>
                <w:rFonts w:ascii="宋体" w:hAnsi="宋体"/>
                <w:szCs w:val="21"/>
              </w:rPr>
            </w:pPr>
          </w:p>
        </w:tc>
        <w:tc>
          <w:tcPr>
            <w:tcW w:w="1446" w:type="dxa"/>
            <w:vAlign w:val="center"/>
          </w:tcPr>
          <w:p>
            <w:pPr>
              <w:autoSpaceDE w:val="0"/>
              <w:autoSpaceDN w:val="0"/>
              <w:adjustRightInd w:val="0"/>
              <w:spacing w:line="360" w:lineRule="auto"/>
              <w:jc w:val="center"/>
              <w:rPr>
                <w:rFonts w:ascii="宋体" w:hAnsi="宋体"/>
                <w:szCs w:val="21"/>
              </w:rPr>
            </w:pPr>
          </w:p>
        </w:tc>
        <w:tc>
          <w:tcPr>
            <w:tcW w:w="1022" w:type="dxa"/>
            <w:vAlign w:val="center"/>
          </w:tcPr>
          <w:p>
            <w:pPr>
              <w:autoSpaceDE w:val="0"/>
              <w:autoSpaceDN w:val="0"/>
              <w:adjustRightInd w:val="0"/>
              <w:spacing w:line="360" w:lineRule="auto"/>
              <w:jc w:val="center"/>
              <w:rPr>
                <w:rFonts w:ascii="宋体" w:hAnsi="宋体"/>
                <w:szCs w:val="21"/>
              </w:rPr>
            </w:pPr>
          </w:p>
        </w:tc>
        <w:tc>
          <w:tcPr>
            <w:tcW w:w="894" w:type="dxa"/>
            <w:vAlign w:val="center"/>
          </w:tcPr>
          <w:p>
            <w:pPr>
              <w:autoSpaceDE w:val="0"/>
              <w:autoSpaceDN w:val="0"/>
              <w:adjustRightInd w:val="0"/>
              <w:spacing w:line="360" w:lineRule="auto"/>
              <w:jc w:val="center"/>
              <w:rPr>
                <w:rFonts w:ascii="宋体" w:hAnsi="宋体"/>
                <w:szCs w:val="21"/>
              </w:rPr>
            </w:pPr>
          </w:p>
        </w:tc>
        <w:tc>
          <w:tcPr>
            <w:tcW w:w="752" w:type="dxa"/>
            <w:vAlign w:val="center"/>
          </w:tcPr>
          <w:p>
            <w:pPr>
              <w:autoSpaceDE w:val="0"/>
              <w:autoSpaceDN w:val="0"/>
              <w:adjustRightInd w:val="0"/>
              <w:spacing w:line="360" w:lineRule="auto"/>
              <w:jc w:val="center"/>
              <w:rPr>
                <w:rFonts w:ascii="宋体" w:hAnsi="宋体"/>
                <w:szCs w:val="21"/>
              </w:rPr>
            </w:pPr>
          </w:p>
        </w:tc>
        <w:tc>
          <w:tcPr>
            <w:tcW w:w="1168" w:type="dxa"/>
            <w:vAlign w:val="center"/>
          </w:tcPr>
          <w:p>
            <w:pPr>
              <w:autoSpaceDE w:val="0"/>
              <w:autoSpaceDN w:val="0"/>
              <w:adjustRightInd w:val="0"/>
              <w:spacing w:line="360" w:lineRule="auto"/>
              <w:jc w:val="center"/>
              <w:rPr>
                <w:rFonts w:ascii="宋体" w:hAnsi="宋体"/>
                <w:szCs w:val="21"/>
              </w:rPr>
            </w:pPr>
          </w:p>
        </w:tc>
        <w:tc>
          <w:tcPr>
            <w:tcW w:w="1135" w:type="dxa"/>
            <w:vAlign w:val="center"/>
          </w:tcPr>
          <w:p>
            <w:pPr>
              <w:autoSpaceDE w:val="0"/>
              <w:autoSpaceDN w:val="0"/>
              <w:adjustRightInd w:val="0"/>
              <w:spacing w:line="360" w:lineRule="auto"/>
              <w:jc w:val="center"/>
              <w:rPr>
                <w:rFonts w:ascii="宋体" w:hAnsi="宋体"/>
                <w:szCs w:val="21"/>
              </w:rPr>
            </w:pPr>
          </w:p>
        </w:tc>
        <w:tc>
          <w:tcPr>
            <w:tcW w:w="1041" w:type="dxa"/>
            <w:vAlign w:val="center"/>
          </w:tcPr>
          <w:p>
            <w:pPr>
              <w:autoSpaceDE w:val="0"/>
              <w:autoSpaceDN w:val="0"/>
              <w:adjustRightInd w:val="0"/>
              <w:spacing w:line="360" w:lineRule="auto"/>
              <w:jc w:val="center"/>
              <w:rPr>
                <w:rFonts w:ascii="宋体" w:hAnsi="宋体"/>
                <w:szCs w:val="21"/>
              </w:rPr>
            </w:pPr>
          </w:p>
        </w:tc>
        <w:tc>
          <w:tcPr>
            <w:tcW w:w="1018" w:type="dxa"/>
            <w:vAlign w:val="center"/>
          </w:tcPr>
          <w:p>
            <w:pPr>
              <w:pStyle w:val="2"/>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514" w:hRule="atLeast"/>
          <w:jc w:val="center"/>
        </w:trPr>
        <w:tc>
          <w:tcPr>
            <w:tcW w:w="678" w:type="dxa"/>
            <w:vAlign w:val="center"/>
          </w:tcPr>
          <w:p>
            <w:pPr>
              <w:autoSpaceDE w:val="0"/>
              <w:autoSpaceDN w:val="0"/>
              <w:adjustRightInd w:val="0"/>
              <w:spacing w:line="360" w:lineRule="auto"/>
              <w:jc w:val="center"/>
              <w:rPr>
                <w:rFonts w:ascii="宋体" w:hAnsi="宋体"/>
                <w:szCs w:val="21"/>
              </w:rPr>
            </w:pPr>
          </w:p>
        </w:tc>
        <w:tc>
          <w:tcPr>
            <w:tcW w:w="1446" w:type="dxa"/>
            <w:vAlign w:val="center"/>
          </w:tcPr>
          <w:p>
            <w:pPr>
              <w:autoSpaceDE w:val="0"/>
              <w:autoSpaceDN w:val="0"/>
              <w:adjustRightInd w:val="0"/>
              <w:spacing w:line="360" w:lineRule="auto"/>
              <w:jc w:val="center"/>
              <w:rPr>
                <w:rFonts w:ascii="宋体" w:hAnsi="宋体"/>
                <w:szCs w:val="21"/>
              </w:rPr>
            </w:pPr>
          </w:p>
        </w:tc>
        <w:tc>
          <w:tcPr>
            <w:tcW w:w="1022" w:type="dxa"/>
            <w:vAlign w:val="center"/>
          </w:tcPr>
          <w:p>
            <w:pPr>
              <w:autoSpaceDE w:val="0"/>
              <w:autoSpaceDN w:val="0"/>
              <w:adjustRightInd w:val="0"/>
              <w:spacing w:line="360" w:lineRule="auto"/>
              <w:jc w:val="center"/>
              <w:rPr>
                <w:rFonts w:ascii="宋体" w:hAnsi="宋体"/>
                <w:szCs w:val="21"/>
              </w:rPr>
            </w:pPr>
          </w:p>
        </w:tc>
        <w:tc>
          <w:tcPr>
            <w:tcW w:w="894" w:type="dxa"/>
            <w:vAlign w:val="center"/>
          </w:tcPr>
          <w:p>
            <w:pPr>
              <w:autoSpaceDE w:val="0"/>
              <w:autoSpaceDN w:val="0"/>
              <w:adjustRightInd w:val="0"/>
              <w:spacing w:line="360" w:lineRule="auto"/>
              <w:jc w:val="center"/>
              <w:rPr>
                <w:rFonts w:ascii="宋体" w:hAnsi="宋体"/>
                <w:szCs w:val="21"/>
              </w:rPr>
            </w:pPr>
          </w:p>
        </w:tc>
        <w:tc>
          <w:tcPr>
            <w:tcW w:w="752" w:type="dxa"/>
            <w:vAlign w:val="center"/>
          </w:tcPr>
          <w:p>
            <w:pPr>
              <w:autoSpaceDE w:val="0"/>
              <w:autoSpaceDN w:val="0"/>
              <w:adjustRightInd w:val="0"/>
              <w:spacing w:line="360" w:lineRule="auto"/>
              <w:jc w:val="center"/>
              <w:rPr>
                <w:rFonts w:ascii="宋体" w:hAnsi="宋体"/>
                <w:szCs w:val="21"/>
              </w:rPr>
            </w:pPr>
          </w:p>
        </w:tc>
        <w:tc>
          <w:tcPr>
            <w:tcW w:w="1168" w:type="dxa"/>
            <w:vAlign w:val="center"/>
          </w:tcPr>
          <w:p>
            <w:pPr>
              <w:autoSpaceDE w:val="0"/>
              <w:autoSpaceDN w:val="0"/>
              <w:adjustRightInd w:val="0"/>
              <w:spacing w:line="360" w:lineRule="auto"/>
              <w:jc w:val="center"/>
              <w:rPr>
                <w:rFonts w:ascii="宋体" w:hAnsi="宋体"/>
                <w:szCs w:val="21"/>
              </w:rPr>
            </w:pPr>
          </w:p>
        </w:tc>
        <w:tc>
          <w:tcPr>
            <w:tcW w:w="1135" w:type="dxa"/>
            <w:vAlign w:val="center"/>
          </w:tcPr>
          <w:p>
            <w:pPr>
              <w:autoSpaceDE w:val="0"/>
              <w:autoSpaceDN w:val="0"/>
              <w:adjustRightInd w:val="0"/>
              <w:spacing w:line="360" w:lineRule="auto"/>
              <w:jc w:val="center"/>
              <w:rPr>
                <w:rFonts w:ascii="宋体" w:hAnsi="宋体"/>
                <w:szCs w:val="21"/>
              </w:rPr>
            </w:pPr>
          </w:p>
        </w:tc>
        <w:tc>
          <w:tcPr>
            <w:tcW w:w="1041" w:type="dxa"/>
            <w:vAlign w:val="center"/>
          </w:tcPr>
          <w:p>
            <w:pPr>
              <w:autoSpaceDE w:val="0"/>
              <w:autoSpaceDN w:val="0"/>
              <w:adjustRightInd w:val="0"/>
              <w:spacing w:line="360" w:lineRule="auto"/>
              <w:jc w:val="center"/>
              <w:rPr>
                <w:rFonts w:ascii="宋体" w:hAnsi="宋体"/>
                <w:szCs w:val="21"/>
              </w:rPr>
            </w:pPr>
          </w:p>
        </w:tc>
        <w:tc>
          <w:tcPr>
            <w:tcW w:w="1018" w:type="dxa"/>
            <w:vAlign w:val="center"/>
          </w:tcPr>
          <w:p>
            <w:pPr>
              <w:pStyle w:val="3"/>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54" w:hRule="atLeast"/>
          <w:jc w:val="center"/>
        </w:trPr>
        <w:tc>
          <w:tcPr>
            <w:tcW w:w="4040" w:type="dxa"/>
            <w:gridSpan w:val="4"/>
            <w:vMerge w:val="restart"/>
            <w:vAlign w:val="center"/>
          </w:tcPr>
          <w:p>
            <w:pPr>
              <w:autoSpaceDE w:val="0"/>
              <w:autoSpaceDN w:val="0"/>
              <w:adjustRightInd w:val="0"/>
              <w:spacing w:line="360" w:lineRule="auto"/>
              <w:jc w:val="center"/>
              <w:rPr>
                <w:rFonts w:ascii="宋体" w:hAnsi="宋体"/>
                <w:szCs w:val="21"/>
              </w:rPr>
            </w:pPr>
            <w:r>
              <w:rPr>
                <w:rFonts w:hint="eastAsia" w:ascii="宋体" w:hAnsi="宋体" w:cs="宋体"/>
                <w:b/>
                <w:color w:val="000000"/>
                <w:kern w:val="0"/>
                <w:szCs w:val="21"/>
              </w:rPr>
              <w:t>合  计</w:t>
            </w:r>
          </w:p>
        </w:tc>
        <w:tc>
          <w:tcPr>
            <w:tcW w:w="752" w:type="dxa"/>
            <w:vMerge w:val="restart"/>
            <w:vAlign w:val="center"/>
          </w:tcPr>
          <w:p>
            <w:pPr>
              <w:autoSpaceDE w:val="0"/>
              <w:autoSpaceDN w:val="0"/>
              <w:adjustRightInd w:val="0"/>
              <w:spacing w:line="360" w:lineRule="auto"/>
              <w:jc w:val="center"/>
              <w:rPr>
                <w:rFonts w:ascii="宋体" w:hAnsi="宋体"/>
                <w:szCs w:val="21"/>
              </w:rPr>
            </w:pPr>
          </w:p>
        </w:tc>
        <w:tc>
          <w:tcPr>
            <w:tcW w:w="1168" w:type="dxa"/>
            <w:vMerge w:val="restart"/>
            <w:vAlign w:val="center"/>
          </w:tcPr>
          <w:p>
            <w:pPr>
              <w:autoSpaceDE w:val="0"/>
              <w:autoSpaceDN w:val="0"/>
              <w:adjustRightInd w:val="0"/>
              <w:spacing w:line="360" w:lineRule="auto"/>
              <w:jc w:val="center"/>
              <w:rPr>
                <w:rFonts w:ascii="宋体" w:hAnsi="宋体"/>
                <w:szCs w:val="21"/>
              </w:rPr>
            </w:pPr>
            <w:r>
              <w:rPr>
                <w:rFonts w:hint="eastAsia" w:ascii="宋体" w:hAnsi="宋体"/>
                <w:szCs w:val="21"/>
              </w:rPr>
              <w:t>/</w:t>
            </w:r>
          </w:p>
        </w:tc>
        <w:tc>
          <w:tcPr>
            <w:tcW w:w="1135" w:type="dxa"/>
            <w:vMerge w:val="restart"/>
            <w:vAlign w:val="center"/>
          </w:tcPr>
          <w:p>
            <w:pPr>
              <w:autoSpaceDE w:val="0"/>
              <w:autoSpaceDN w:val="0"/>
              <w:adjustRightInd w:val="0"/>
              <w:spacing w:line="360" w:lineRule="auto"/>
              <w:jc w:val="center"/>
              <w:rPr>
                <w:rFonts w:ascii="宋体" w:hAnsi="宋体"/>
                <w:szCs w:val="21"/>
              </w:rPr>
            </w:pPr>
          </w:p>
        </w:tc>
        <w:tc>
          <w:tcPr>
            <w:tcW w:w="1041" w:type="dxa"/>
            <w:vAlign w:val="center"/>
          </w:tcPr>
          <w:p>
            <w:pPr>
              <w:autoSpaceDE w:val="0"/>
              <w:autoSpaceDN w:val="0"/>
              <w:adjustRightInd w:val="0"/>
              <w:spacing w:line="360" w:lineRule="auto"/>
              <w:jc w:val="center"/>
              <w:rPr>
                <w:rFonts w:ascii="宋体" w:hAnsi="宋体"/>
                <w:szCs w:val="21"/>
              </w:rPr>
            </w:pPr>
            <w:r>
              <w:rPr>
                <w:rFonts w:hint="eastAsia" w:ascii="宋体" w:hAnsi="宋体" w:cs="宋体"/>
                <w:b/>
                <w:color w:val="000000"/>
                <w:kern w:val="0"/>
                <w:szCs w:val="21"/>
              </w:rPr>
              <w:t>税额</w:t>
            </w:r>
          </w:p>
        </w:tc>
        <w:tc>
          <w:tcPr>
            <w:tcW w:w="1018" w:type="dxa"/>
            <w:vMerge w:val="restart"/>
            <w:vAlign w:val="center"/>
          </w:tcPr>
          <w:p>
            <w:pPr>
              <w:pStyle w:val="3"/>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trHeight w:val="473" w:hRule="atLeast"/>
          <w:jc w:val="center"/>
        </w:trPr>
        <w:tc>
          <w:tcPr>
            <w:tcW w:w="4040" w:type="dxa"/>
            <w:gridSpan w:val="4"/>
            <w:vMerge w:val="continue"/>
            <w:vAlign w:val="center"/>
          </w:tcPr>
          <w:p>
            <w:pPr>
              <w:autoSpaceDE w:val="0"/>
              <w:autoSpaceDN w:val="0"/>
              <w:adjustRightInd w:val="0"/>
              <w:spacing w:line="360" w:lineRule="auto"/>
              <w:jc w:val="center"/>
            </w:pPr>
          </w:p>
        </w:tc>
        <w:tc>
          <w:tcPr>
            <w:tcW w:w="752" w:type="dxa"/>
            <w:vMerge w:val="continue"/>
            <w:vAlign w:val="center"/>
          </w:tcPr>
          <w:p>
            <w:pPr>
              <w:autoSpaceDE w:val="0"/>
              <w:autoSpaceDN w:val="0"/>
              <w:adjustRightInd w:val="0"/>
              <w:spacing w:line="360" w:lineRule="auto"/>
              <w:jc w:val="center"/>
            </w:pPr>
          </w:p>
        </w:tc>
        <w:tc>
          <w:tcPr>
            <w:tcW w:w="1168" w:type="dxa"/>
            <w:vMerge w:val="continue"/>
            <w:vAlign w:val="center"/>
          </w:tcPr>
          <w:p>
            <w:pPr>
              <w:autoSpaceDE w:val="0"/>
              <w:autoSpaceDN w:val="0"/>
              <w:adjustRightInd w:val="0"/>
              <w:spacing w:line="360" w:lineRule="auto"/>
              <w:jc w:val="center"/>
            </w:pPr>
          </w:p>
        </w:tc>
        <w:tc>
          <w:tcPr>
            <w:tcW w:w="1135" w:type="dxa"/>
            <w:vMerge w:val="continue"/>
            <w:vAlign w:val="center"/>
          </w:tcPr>
          <w:p>
            <w:pPr>
              <w:autoSpaceDE w:val="0"/>
              <w:autoSpaceDN w:val="0"/>
              <w:adjustRightInd w:val="0"/>
              <w:spacing w:line="360" w:lineRule="auto"/>
              <w:jc w:val="center"/>
            </w:pPr>
          </w:p>
        </w:tc>
        <w:tc>
          <w:tcPr>
            <w:tcW w:w="1041" w:type="dxa"/>
            <w:vAlign w:val="center"/>
          </w:tcPr>
          <w:p>
            <w:pPr>
              <w:autoSpaceDE w:val="0"/>
              <w:autoSpaceDN w:val="0"/>
              <w:adjustRightInd w:val="0"/>
              <w:spacing w:line="360" w:lineRule="auto"/>
              <w:jc w:val="center"/>
              <w:rPr>
                <w:rFonts w:ascii="宋体" w:hAnsi="宋体"/>
                <w:szCs w:val="21"/>
              </w:rPr>
            </w:pPr>
          </w:p>
        </w:tc>
        <w:tc>
          <w:tcPr>
            <w:tcW w:w="1018" w:type="dxa"/>
            <w:vMerge w:val="continue"/>
            <w:vAlign w:val="center"/>
          </w:tcPr>
          <w:p>
            <w:pPr>
              <w:autoSpaceDE w:val="0"/>
              <w:autoSpaceDN w:val="0"/>
              <w:adjustRightInd w:val="0"/>
              <w:spacing w:line="360" w:lineRule="auto"/>
              <w:jc w:val="center"/>
              <w:rPr>
                <w:rFonts w:ascii="宋体" w:hAnsi="宋体"/>
                <w:szCs w:val="21"/>
              </w:rPr>
            </w:pPr>
          </w:p>
        </w:tc>
      </w:tr>
    </w:tbl>
    <w:p>
      <w:pPr>
        <w:autoSpaceDE w:val="0"/>
        <w:autoSpaceDN w:val="0"/>
        <w:adjustRightInd w:val="0"/>
        <w:spacing w:line="360" w:lineRule="auto"/>
        <w:ind w:left="141"/>
        <w:rPr>
          <w:kern w:val="0"/>
          <w:szCs w:val="21"/>
        </w:rPr>
      </w:pPr>
      <w:r>
        <w:rPr>
          <w:rFonts w:hint="eastAsia"/>
          <w:kern w:val="0"/>
          <w:szCs w:val="21"/>
        </w:rPr>
        <w:t>1.2 以上货物具体的供货范围、技术规格和参数详见合同附件（包括但不限于成交通知书、补充协议（如有）等）。</w:t>
      </w:r>
    </w:p>
    <w:p>
      <w:pPr>
        <w:autoSpaceDE w:val="0"/>
        <w:autoSpaceDN w:val="0"/>
        <w:adjustRightInd w:val="0"/>
        <w:spacing w:line="360" w:lineRule="auto"/>
        <w:ind w:left="141"/>
        <w:rPr>
          <w:szCs w:val="21"/>
        </w:rPr>
      </w:pPr>
      <w:r>
        <w:rPr>
          <w:rFonts w:hint="eastAsia"/>
          <w:kern w:val="0"/>
          <w:szCs w:val="21"/>
        </w:rPr>
        <w:t>1.3 以上货物合同金额不含税金额为固定不变价，如遇税收政策变动，税率应按照一般纳税人最新的增值税税率执行，重新计算本合同含税总价。</w:t>
      </w:r>
    </w:p>
    <w:p>
      <w:pPr>
        <w:autoSpaceDE w:val="0"/>
        <w:autoSpaceDN w:val="0"/>
        <w:adjustRightInd w:val="0"/>
        <w:spacing w:line="360" w:lineRule="auto"/>
        <w:outlineLvl w:val="1"/>
        <w:rPr>
          <w:b/>
          <w:szCs w:val="21"/>
        </w:rPr>
      </w:pPr>
      <w:bookmarkStart w:id="489" w:name="_Toc6586"/>
      <w:bookmarkStart w:id="490" w:name="_Toc19394"/>
      <w:r>
        <w:rPr>
          <w:rFonts w:hint="eastAsia"/>
          <w:b/>
          <w:kern w:val="0"/>
          <w:szCs w:val="21"/>
        </w:rPr>
        <w:t>二、交货要求</w:t>
      </w:r>
      <w:bookmarkEnd w:id="489"/>
      <w:bookmarkEnd w:id="490"/>
    </w:p>
    <w:p>
      <w:pPr>
        <w:autoSpaceDE w:val="0"/>
        <w:autoSpaceDN w:val="0"/>
        <w:adjustRightInd w:val="0"/>
        <w:spacing w:line="360" w:lineRule="auto"/>
        <w:ind w:left="141"/>
        <w:rPr>
          <w:kern w:val="0"/>
          <w:szCs w:val="21"/>
        </w:rPr>
      </w:pPr>
      <w:r>
        <w:rPr>
          <w:rFonts w:hint="eastAsia"/>
          <w:kern w:val="0"/>
          <w:szCs w:val="21"/>
        </w:rPr>
        <w:t>2.1 质量要求：乙方应保证所供货物必须是全新的（包括所有零配件、专用工具等），表面无划伤，无碰撞，各项技术参数完全符合本采购文件用户需求书的要求，产品质量应符合国家标准。</w:t>
      </w:r>
    </w:p>
    <w:p>
      <w:pPr>
        <w:autoSpaceDE w:val="0"/>
        <w:autoSpaceDN w:val="0"/>
        <w:adjustRightInd w:val="0"/>
        <w:spacing w:line="360" w:lineRule="auto"/>
        <w:ind w:left="141"/>
        <w:rPr>
          <w:kern w:val="0"/>
          <w:szCs w:val="21"/>
        </w:rPr>
      </w:pPr>
      <w:r>
        <w:rPr>
          <w:rFonts w:hint="eastAsia"/>
          <w:kern w:val="0"/>
          <w:szCs w:val="21"/>
        </w:rPr>
        <w:t>2.2 乙方提供的产品必须是全新的（包括所有零配件、专用工具等），表面无划伤，无碰撞，各项技术参数完全符合本采购文件用户需求书的要求，产品质量应符合国家标准。</w:t>
      </w:r>
    </w:p>
    <w:p>
      <w:pPr>
        <w:autoSpaceDE w:val="0"/>
        <w:autoSpaceDN w:val="0"/>
        <w:adjustRightInd w:val="0"/>
        <w:spacing w:line="360" w:lineRule="auto"/>
        <w:ind w:left="141"/>
        <w:rPr>
          <w:rFonts w:hint="eastAsia"/>
          <w:kern w:val="0"/>
          <w:szCs w:val="21"/>
        </w:rPr>
      </w:pPr>
      <w:r>
        <w:rPr>
          <w:rFonts w:hint="eastAsia"/>
          <w:kern w:val="0"/>
          <w:szCs w:val="21"/>
        </w:rPr>
        <w:t>2.3 在供货期内，乙方所供应货物如需国家强制性认证的，供货时必须同时提供相应产品证书（提供承诺书）。</w:t>
      </w:r>
    </w:p>
    <w:p>
      <w:pPr>
        <w:autoSpaceDE w:val="0"/>
        <w:autoSpaceDN w:val="0"/>
        <w:adjustRightInd w:val="0"/>
        <w:spacing w:line="360" w:lineRule="auto"/>
        <w:ind w:left="141"/>
        <w:rPr>
          <w:rFonts w:hint="eastAsia"/>
          <w:kern w:val="0"/>
          <w:szCs w:val="21"/>
          <w:lang w:val="zh-CN"/>
        </w:rPr>
      </w:pPr>
      <w:r>
        <w:rPr>
          <w:rFonts w:hint="eastAsia"/>
          <w:kern w:val="0"/>
          <w:szCs w:val="21"/>
        </w:rPr>
        <w:t xml:space="preserve">2.4 </w:t>
      </w:r>
      <w:r>
        <w:rPr>
          <w:rFonts w:hint="eastAsia"/>
          <w:kern w:val="0"/>
          <w:szCs w:val="21"/>
          <w:lang w:val="en-US" w:eastAsia="zh-CN"/>
        </w:rPr>
        <w:t>技术培训</w:t>
      </w:r>
      <w:r>
        <w:rPr>
          <w:rFonts w:hint="eastAsia"/>
          <w:kern w:val="0"/>
          <w:szCs w:val="21"/>
        </w:rPr>
        <w:t>要求：</w:t>
      </w:r>
      <w:r>
        <w:rPr>
          <w:rFonts w:hint="eastAsia"/>
          <w:kern w:val="0"/>
          <w:szCs w:val="21"/>
          <w:lang w:val="en-US" w:eastAsia="zh-CN"/>
        </w:rPr>
        <w:t>乙方</w:t>
      </w:r>
      <w:r>
        <w:rPr>
          <w:rFonts w:hint="eastAsia"/>
          <w:kern w:val="0"/>
          <w:szCs w:val="21"/>
        </w:rPr>
        <w:t>应</w:t>
      </w:r>
      <w:r>
        <w:rPr>
          <w:rFonts w:hint="eastAsia"/>
          <w:kern w:val="0"/>
          <w:szCs w:val="21"/>
          <w:lang w:val="zh-CN"/>
        </w:rPr>
        <w:t>在完成</w:t>
      </w:r>
      <w:r>
        <w:rPr>
          <w:rFonts w:hint="eastAsia"/>
          <w:kern w:val="0"/>
          <w:szCs w:val="21"/>
        </w:rPr>
        <w:t>供货</w:t>
      </w:r>
      <w:r>
        <w:rPr>
          <w:rFonts w:hint="eastAsia"/>
          <w:kern w:val="0"/>
          <w:szCs w:val="21"/>
          <w:lang w:val="en-US" w:eastAsia="zh-CN"/>
        </w:rPr>
        <w:t>的同时</w:t>
      </w:r>
      <w:r>
        <w:rPr>
          <w:rFonts w:hint="eastAsia"/>
          <w:kern w:val="0"/>
          <w:szCs w:val="21"/>
        </w:rPr>
        <w:t>提供</w:t>
      </w:r>
      <w:r>
        <w:rPr>
          <w:rFonts w:hint="eastAsia"/>
          <w:kern w:val="0"/>
          <w:szCs w:val="21"/>
          <w:lang w:val="en-US" w:eastAsia="zh-CN"/>
        </w:rPr>
        <w:t>竞选文件</w:t>
      </w:r>
      <w:r>
        <w:rPr>
          <w:rFonts w:hint="eastAsia"/>
          <w:kern w:val="0"/>
          <w:szCs w:val="21"/>
        </w:rPr>
        <w:t>“项目技术参数及要求”当中的培训条</w:t>
      </w:r>
      <w:r>
        <w:rPr>
          <w:rFonts w:hint="eastAsia"/>
          <w:kern w:val="0"/>
          <w:szCs w:val="21"/>
          <w:lang w:val="en-US" w:eastAsia="zh-CN"/>
        </w:rPr>
        <w:t>件。</w:t>
      </w:r>
    </w:p>
    <w:p>
      <w:pPr>
        <w:autoSpaceDE w:val="0"/>
        <w:autoSpaceDN w:val="0"/>
        <w:adjustRightInd w:val="0"/>
        <w:spacing w:line="360" w:lineRule="auto"/>
        <w:ind w:left="141"/>
        <w:rPr>
          <w:kern w:val="0"/>
          <w:szCs w:val="21"/>
        </w:rPr>
      </w:pPr>
      <w:r>
        <w:rPr>
          <w:rFonts w:hint="eastAsia"/>
          <w:kern w:val="0"/>
          <w:szCs w:val="21"/>
        </w:rPr>
        <w:t>2.5 供货期限：</w:t>
      </w:r>
      <w:r>
        <w:rPr>
          <w:rFonts w:hint="eastAsia" w:ascii="宋体" w:hAnsi="宋体" w:cstheme="minorEastAsia"/>
        </w:rPr>
        <w:t>合同签订后</w:t>
      </w:r>
      <w:r>
        <w:rPr>
          <w:rFonts w:hint="eastAsia" w:ascii="宋体" w:hAnsi="宋体" w:cstheme="minorEastAsia"/>
          <w:u w:val="single"/>
        </w:rPr>
        <w:t xml:space="preserve"> </w:t>
      </w:r>
      <w:r>
        <w:rPr>
          <w:rFonts w:hint="eastAsia" w:ascii="宋体" w:hAnsi="宋体" w:cstheme="minorEastAsia"/>
          <w:u w:val="single"/>
          <w:lang w:val="en-US" w:eastAsia="zh-CN"/>
        </w:rPr>
        <w:t>15</w:t>
      </w:r>
      <w:r>
        <w:rPr>
          <w:rFonts w:hint="eastAsia" w:ascii="宋体" w:hAnsi="宋体" w:cstheme="minorEastAsia"/>
          <w:u w:val="single"/>
        </w:rPr>
        <w:t xml:space="preserve"> </w:t>
      </w:r>
      <w:r>
        <w:rPr>
          <w:rFonts w:hint="eastAsia" w:ascii="宋体" w:hAnsi="宋体" w:cstheme="minorEastAsia"/>
        </w:rPr>
        <w:t>日历日内完成</w:t>
      </w:r>
      <w:r>
        <w:rPr>
          <w:rFonts w:hint="eastAsia" w:ascii="宋体" w:hAnsi="宋体" w:cstheme="minorEastAsia"/>
          <w:lang w:eastAsia="zh-CN"/>
        </w:rPr>
        <w:t>。</w:t>
      </w:r>
    </w:p>
    <w:p>
      <w:pPr>
        <w:autoSpaceDE w:val="0"/>
        <w:autoSpaceDN w:val="0"/>
        <w:adjustRightInd w:val="0"/>
        <w:spacing w:line="360" w:lineRule="auto"/>
        <w:ind w:left="141"/>
        <w:rPr>
          <w:kern w:val="0"/>
          <w:szCs w:val="21"/>
        </w:rPr>
      </w:pPr>
      <w:r>
        <w:rPr>
          <w:rFonts w:hint="eastAsia"/>
          <w:kern w:val="0"/>
          <w:szCs w:val="21"/>
        </w:rPr>
        <w:t>2.6 交货地点：广州市番禺区石楼镇潮田工业区珠江路1-2号</w:t>
      </w:r>
      <w:r>
        <w:rPr>
          <w:rFonts w:hint="eastAsia"/>
          <w:kern w:val="0"/>
          <w:szCs w:val="21"/>
          <w:lang w:val="en-US" w:eastAsia="zh-CN"/>
        </w:rPr>
        <w:t>纤检楼112室</w:t>
      </w:r>
      <w:r>
        <w:rPr>
          <w:rFonts w:hint="eastAsia"/>
          <w:kern w:val="0"/>
          <w:szCs w:val="21"/>
          <w:lang w:eastAsia="zh-CN"/>
        </w:rPr>
        <w:t>。</w:t>
      </w:r>
    </w:p>
    <w:p>
      <w:pPr>
        <w:autoSpaceDE w:val="0"/>
        <w:autoSpaceDN w:val="0"/>
        <w:adjustRightInd w:val="0"/>
        <w:spacing w:line="360" w:lineRule="auto"/>
        <w:ind w:left="141"/>
        <w:rPr>
          <w:kern w:val="0"/>
          <w:szCs w:val="21"/>
        </w:rPr>
      </w:pPr>
      <w:r>
        <w:rPr>
          <w:rFonts w:hint="eastAsia"/>
          <w:kern w:val="0"/>
          <w:szCs w:val="21"/>
        </w:rPr>
        <w:t>2.7 收货人及联系方式：由甲方指定联系人。</w:t>
      </w:r>
    </w:p>
    <w:p>
      <w:pPr>
        <w:autoSpaceDE w:val="0"/>
        <w:autoSpaceDN w:val="0"/>
        <w:adjustRightInd w:val="0"/>
        <w:spacing w:line="360" w:lineRule="auto"/>
        <w:ind w:left="141"/>
        <w:rPr>
          <w:kern w:val="0"/>
          <w:szCs w:val="21"/>
        </w:rPr>
      </w:pPr>
      <w:r>
        <w:rPr>
          <w:rFonts w:hint="eastAsia"/>
          <w:kern w:val="0"/>
          <w:szCs w:val="21"/>
        </w:rPr>
        <w:t>2.7 货物在交货时须提供该批次的出厂合格证书和授权书原件。</w:t>
      </w:r>
    </w:p>
    <w:p>
      <w:pPr>
        <w:autoSpaceDE w:val="0"/>
        <w:autoSpaceDN w:val="0"/>
        <w:adjustRightInd w:val="0"/>
        <w:spacing w:line="360" w:lineRule="auto"/>
        <w:ind w:left="141"/>
        <w:rPr>
          <w:kern w:val="0"/>
          <w:szCs w:val="21"/>
        </w:rPr>
      </w:pPr>
      <w:r>
        <w:rPr>
          <w:rFonts w:hint="eastAsia"/>
          <w:kern w:val="0"/>
          <w:szCs w:val="21"/>
        </w:rPr>
        <w:t>2.8 配送要求：产品由乙方直接配送，配送的产品应按有关要求进行包装并采用适当的运输方式运抵合同交货地点；货物的装卸、搬运由乙方负责，甲方无义务提供装卸工具。</w:t>
      </w:r>
    </w:p>
    <w:p>
      <w:pPr>
        <w:autoSpaceDE w:val="0"/>
        <w:autoSpaceDN w:val="0"/>
        <w:adjustRightInd w:val="0"/>
        <w:spacing w:line="360" w:lineRule="auto"/>
        <w:ind w:left="141"/>
        <w:rPr>
          <w:kern w:val="0"/>
          <w:szCs w:val="21"/>
        </w:rPr>
      </w:pPr>
      <w:r>
        <w:rPr>
          <w:rFonts w:hint="eastAsia"/>
          <w:kern w:val="0"/>
          <w:szCs w:val="21"/>
        </w:rPr>
        <w:t>2.8 乙方交货时须随附货物清单，且必须提供：货物原出厂产品合格证和相关所投产品的认证证书等有效证明文件。</w:t>
      </w:r>
    </w:p>
    <w:p>
      <w:pPr>
        <w:autoSpaceDE w:val="0"/>
        <w:autoSpaceDN w:val="0"/>
        <w:adjustRightInd w:val="0"/>
        <w:spacing w:line="360" w:lineRule="auto"/>
        <w:outlineLvl w:val="1"/>
        <w:rPr>
          <w:b/>
          <w:kern w:val="0"/>
          <w:szCs w:val="21"/>
          <w:lang w:val="zh-CN"/>
        </w:rPr>
      </w:pPr>
      <w:bookmarkStart w:id="491" w:name="_Toc13864"/>
      <w:bookmarkStart w:id="492" w:name="_Toc19498"/>
      <w:r>
        <w:rPr>
          <w:rFonts w:hint="eastAsia"/>
          <w:b/>
          <w:kern w:val="0"/>
          <w:szCs w:val="21"/>
        </w:rPr>
        <w:t>三、</w:t>
      </w:r>
      <w:r>
        <w:rPr>
          <w:rFonts w:hint="eastAsia"/>
          <w:b/>
          <w:kern w:val="0"/>
          <w:szCs w:val="21"/>
          <w:lang w:val="zh-CN"/>
        </w:rPr>
        <w:t>验收要求</w:t>
      </w:r>
      <w:bookmarkEnd w:id="491"/>
      <w:bookmarkEnd w:id="492"/>
    </w:p>
    <w:p>
      <w:pPr>
        <w:autoSpaceDE w:val="0"/>
        <w:autoSpaceDN w:val="0"/>
        <w:adjustRightInd w:val="0"/>
        <w:spacing w:line="360" w:lineRule="auto"/>
        <w:ind w:left="141"/>
        <w:rPr>
          <w:kern w:val="0"/>
          <w:szCs w:val="21"/>
        </w:rPr>
      </w:pPr>
      <w:r>
        <w:rPr>
          <w:rFonts w:hint="eastAsia"/>
          <w:kern w:val="0"/>
          <w:szCs w:val="21"/>
        </w:rPr>
        <w:t>3.1 验收方法按本项目的技术要求进行。货物质控要求符合甲方的技术参数标准或其他有效方法判断标准要求。</w:t>
      </w:r>
    </w:p>
    <w:p>
      <w:pPr>
        <w:autoSpaceDE w:val="0"/>
        <w:autoSpaceDN w:val="0"/>
        <w:adjustRightInd w:val="0"/>
        <w:spacing w:line="360" w:lineRule="auto"/>
        <w:ind w:left="141"/>
        <w:rPr>
          <w:kern w:val="0"/>
          <w:szCs w:val="21"/>
        </w:rPr>
      </w:pPr>
      <w:r>
        <w:rPr>
          <w:rFonts w:hint="eastAsia"/>
          <w:kern w:val="0"/>
          <w:szCs w:val="21"/>
        </w:rPr>
        <w:t>3.2 对不合格的产品，甲方有权退回乙方，所产生的有关费用由乙方承担，甲方不予支付任何费用。</w:t>
      </w:r>
    </w:p>
    <w:p>
      <w:pPr>
        <w:autoSpaceDE w:val="0"/>
        <w:autoSpaceDN w:val="0"/>
        <w:adjustRightInd w:val="0"/>
        <w:spacing w:line="360" w:lineRule="auto"/>
        <w:ind w:left="141"/>
        <w:rPr>
          <w:kern w:val="0"/>
          <w:szCs w:val="21"/>
        </w:rPr>
      </w:pPr>
      <w:r>
        <w:rPr>
          <w:rFonts w:hint="eastAsia"/>
          <w:kern w:val="0"/>
          <w:szCs w:val="21"/>
        </w:rPr>
        <w:t>3.3 甲方组成验收小组按国家有关规定、规范进行验收，必要时邀请相关的专业人员或机构参与验收。因设备材料质量问题发生争议时，由本地质量技术监督部门鉴定。设备材料符合质量技术标准的，鉴定费由甲方承担；否则鉴定费由乙方承担。</w:t>
      </w:r>
    </w:p>
    <w:p>
      <w:pPr>
        <w:autoSpaceDE w:val="0"/>
        <w:autoSpaceDN w:val="0"/>
        <w:adjustRightInd w:val="0"/>
        <w:spacing w:line="360" w:lineRule="auto"/>
        <w:ind w:left="141"/>
        <w:rPr>
          <w:kern w:val="0"/>
          <w:szCs w:val="21"/>
        </w:rPr>
      </w:pPr>
      <w:r>
        <w:rPr>
          <w:rFonts w:hint="eastAsia"/>
          <w:kern w:val="0"/>
          <w:szCs w:val="21"/>
        </w:rPr>
        <w:t>3.4 对于不能在收到货物时当场进行验收的货物，甲方在使用过程中发现有质量问题的，乙方需在5个工作日内无条件换货或退货。</w:t>
      </w:r>
    </w:p>
    <w:p>
      <w:pPr>
        <w:spacing w:line="360" w:lineRule="auto"/>
        <w:outlineLvl w:val="1"/>
        <w:rPr>
          <w:rFonts w:asciiTheme="minorEastAsia" w:hAnsiTheme="minorEastAsia" w:eastAsiaTheme="minorEastAsia" w:cstheme="minorEastAsia"/>
          <w:b/>
          <w:szCs w:val="21"/>
        </w:rPr>
      </w:pPr>
      <w:bookmarkStart w:id="493" w:name="_Toc6535"/>
      <w:bookmarkStart w:id="494" w:name="_Toc20658"/>
      <w:r>
        <w:rPr>
          <w:rFonts w:hint="eastAsia" w:asciiTheme="minorEastAsia" w:hAnsiTheme="minorEastAsia" w:eastAsiaTheme="minorEastAsia" w:cstheme="minorEastAsia"/>
          <w:b/>
          <w:szCs w:val="21"/>
        </w:rPr>
        <w:t>四、质保期、售后服务</w:t>
      </w:r>
      <w:bookmarkEnd w:id="493"/>
      <w:bookmarkEnd w:id="494"/>
    </w:p>
    <w:p>
      <w:pPr>
        <w:autoSpaceDE w:val="0"/>
        <w:autoSpaceDN w:val="0"/>
        <w:adjustRightInd w:val="0"/>
        <w:spacing w:line="360" w:lineRule="auto"/>
        <w:ind w:left="141"/>
        <w:rPr>
          <w:kern w:val="0"/>
          <w:szCs w:val="21"/>
        </w:rPr>
      </w:pPr>
      <w:r>
        <w:rPr>
          <w:rFonts w:hint="eastAsia"/>
          <w:kern w:val="0"/>
          <w:szCs w:val="21"/>
        </w:rPr>
        <w:t>4.1 乙方应将其提供的合同货物运抵现场，并经验收合格方可交付甲方。</w:t>
      </w:r>
    </w:p>
    <w:p>
      <w:pPr>
        <w:autoSpaceDE w:val="0"/>
        <w:autoSpaceDN w:val="0"/>
        <w:adjustRightInd w:val="0"/>
        <w:spacing w:line="360" w:lineRule="auto"/>
        <w:ind w:left="141"/>
        <w:rPr>
          <w:kern w:val="0"/>
          <w:szCs w:val="21"/>
        </w:rPr>
      </w:pPr>
      <w:r>
        <w:rPr>
          <w:rFonts w:hint="eastAsia"/>
          <w:kern w:val="0"/>
          <w:szCs w:val="21"/>
        </w:rPr>
        <w:t>4.2 乙方为甲方提供自验收后不少于</w:t>
      </w:r>
      <w:r>
        <w:rPr>
          <w:rFonts w:hint="eastAsia" w:ascii="宋体" w:hAnsi="宋体" w:cs="宋体"/>
          <w:szCs w:val="21"/>
        </w:rPr>
        <w:t>1年的免费维护服务，由</w:t>
      </w:r>
      <w:r>
        <w:rPr>
          <w:rFonts w:hint="eastAsia" w:asciiTheme="minorEastAsia" w:hAnsiTheme="minorEastAsia" w:eastAsiaTheme="minorEastAsia" w:cstheme="minorEastAsia"/>
          <w:kern w:val="0"/>
          <w:szCs w:val="21"/>
        </w:rPr>
        <w:t>原厂工程师服务。</w:t>
      </w:r>
    </w:p>
    <w:p>
      <w:pPr>
        <w:autoSpaceDE w:val="0"/>
        <w:autoSpaceDN w:val="0"/>
        <w:adjustRightInd w:val="0"/>
        <w:spacing w:line="360" w:lineRule="auto"/>
        <w:ind w:left="141"/>
        <w:rPr>
          <w:kern w:val="0"/>
          <w:szCs w:val="21"/>
        </w:rPr>
      </w:pPr>
      <w:r>
        <w:rPr>
          <w:rFonts w:hint="eastAsia"/>
          <w:kern w:val="0"/>
          <w:szCs w:val="21"/>
        </w:rPr>
        <w:t>4.3 质保期内正常使用下，因非人为因素损坏的，乙方在收到有关通知后，一周内予以更换，质保期内全部服务费和更换货物的费用由乙方承担。</w:t>
      </w:r>
    </w:p>
    <w:p>
      <w:pPr>
        <w:autoSpaceDE w:val="0"/>
        <w:autoSpaceDN w:val="0"/>
        <w:adjustRightInd w:val="0"/>
        <w:spacing w:line="360" w:lineRule="auto"/>
        <w:ind w:left="141"/>
        <w:rPr>
          <w:kern w:val="0"/>
          <w:szCs w:val="21"/>
        </w:rPr>
      </w:pPr>
      <w:r>
        <w:rPr>
          <w:rFonts w:hint="eastAsia"/>
          <w:kern w:val="0"/>
          <w:szCs w:val="21"/>
        </w:rPr>
        <w:t>4.4 质保期内乙方须进行质量“三包”。质保期后，乙方应继续为合同货物的使用提供更换、维修等终身技术支持。</w:t>
      </w:r>
    </w:p>
    <w:p>
      <w:pPr>
        <w:autoSpaceDE w:val="0"/>
        <w:autoSpaceDN w:val="0"/>
        <w:adjustRightInd w:val="0"/>
        <w:spacing w:line="360" w:lineRule="auto"/>
        <w:ind w:left="141"/>
        <w:rPr>
          <w:kern w:val="0"/>
          <w:szCs w:val="21"/>
        </w:rPr>
      </w:pPr>
      <w:r>
        <w:rPr>
          <w:rFonts w:hint="eastAsia"/>
          <w:kern w:val="0"/>
          <w:szCs w:val="21"/>
        </w:rPr>
        <w:t>4.5 乙方必须设有售后服务电话热线，保证在接到故障电话后及时响应用户，在收到服务要求时2小时内有专人答复，1 天内有专职工作人员到达现场解决。</w:t>
      </w:r>
    </w:p>
    <w:p>
      <w:pPr>
        <w:autoSpaceDE w:val="0"/>
        <w:autoSpaceDN w:val="0"/>
        <w:adjustRightInd w:val="0"/>
        <w:spacing w:line="360" w:lineRule="auto"/>
        <w:ind w:left="141"/>
        <w:rPr>
          <w:kern w:val="0"/>
          <w:szCs w:val="21"/>
        </w:rPr>
      </w:pPr>
      <w:r>
        <w:rPr>
          <w:rFonts w:hint="eastAsia"/>
          <w:kern w:val="0"/>
          <w:szCs w:val="21"/>
        </w:rPr>
        <w:t>4.6 如货物经甲方确定不能达到合同约定的质量标准或厂家的质量标准或检验标准的要求,甲方有权退货,并依法追究乙方的违约责任。</w:t>
      </w:r>
    </w:p>
    <w:p>
      <w:pPr>
        <w:autoSpaceDE w:val="0"/>
        <w:autoSpaceDN w:val="0"/>
        <w:adjustRightInd w:val="0"/>
        <w:spacing w:line="360" w:lineRule="auto"/>
        <w:ind w:left="141"/>
        <w:rPr>
          <w:kern w:val="0"/>
          <w:szCs w:val="21"/>
        </w:rPr>
      </w:pPr>
      <w:r>
        <w:rPr>
          <w:rFonts w:hint="eastAsia"/>
          <w:kern w:val="0"/>
          <w:szCs w:val="21"/>
        </w:rPr>
        <w:t>4.7 甲方在广州市设有长期固定的服务机构，提供可靠的货物售后服务保障，提供正常的备品备件等项目的服务。</w:t>
      </w:r>
    </w:p>
    <w:p>
      <w:pPr>
        <w:numPr>
          <w:ilvl w:val="255"/>
          <w:numId w:val="0"/>
        </w:numPr>
        <w:spacing w:line="360" w:lineRule="auto"/>
        <w:outlineLvl w:val="1"/>
      </w:pPr>
      <w:bookmarkStart w:id="495" w:name="_Toc19690"/>
      <w:bookmarkStart w:id="496" w:name="_Toc4350"/>
      <w:r>
        <w:rPr>
          <w:rFonts w:hint="eastAsia" w:asciiTheme="minorEastAsia" w:hAnsiTheme="minorEastAsia" w:eastAsiaTheme="minorEastAsia" w:cstheme="minorEastAsia"/>
          <w:b/>
          <w:bCs/>
          <w:szCs w:val="21"/>
        </w:rPr>
        <w:t>五、付款方式</w:t>
      </w:r>
      <w:bookmarkEnd w:id="495"/>
      <w:bookmarkEnd w:id="496"/>
    </w:p>
    <w:p>
      <w:pPr>
        <w:autoSpaceDE w:val="0"/>
        <w:autoSpaceDN w:val="0"/>
        <w:adjustRightInd w:val="0"/>
        <w:spacing w:line="360" w:lineRule="auto"/>
        <w:ind w:left="141"/>
        <w:rPr>
          <w:kern w:val="0"/>
          <w:szCs w:val="21"/>
        </w:rPr>
      </w:pPr>
      <w:r>
        <w:rPr>
          <w:rFonts w:hint="eastAsia"/>
          <w:kern w:val="0"/>
          <w:szCs w:val="21"/>
        </w:rPr>
        <w:t>本合同的每笔款项均以人民币方式支付，按下列步骤分期支付：</w:t>
      </w:r>
    </w:p>
    <w:p>
      <w:pPr>
        <w:autoSpaceDE w:val="0"/>
        <w:autoSpaceDN w:val="0"/>
        <w:adjustRightInd w:val="0"/>
        <w:spacing w:line="360" w:lineRule="auto"/>
        <w:ind w:left="141"/>
        <w:rPr>
          <w:kern w:val="0"/>
          <w:szCs w:val="21"/>
        </w:rPr>
      </w:pPr>
      <w:r>
        <w:rPr>
          <w:rFonts w:hint="eastAsia"/>
          <w:kern w:val="0"/>
          <w:szCs w:val="21"/>
        </w:rPr>
        <w:t>5.1 合同签订生效之日起10个工作日内，甲方凭乙方提供的等额增值税专用正式发票向乙方预付合同总价的50%，为合同预付款；</w:t>
      </w:r>
    </w:p>
    <w:p>
      <w:pPr>
        <w:autoSpaceDE w:val="0"/>
        <w:autoSpaceDN w:val="0"/>
        <w:adjustRightInd w:val="0"/>
        <w:spacing w:line="360" w:lineRule="auto"/>
        <w:ind w:left="141"/>
        <w:rPr>
          <w:rFonts w:ascii="宋体" w:hAnsi="宋体"/>
          <w:b/>
          <w:szCs w:val="21"/>
        </w:rPr>
      </w:pPr>
      <w:r>
        <w:rPr>
          <w:rFonts w:hint="eastAsia"/>
          <w:kern w:val="0"/>
          <w:szCs w:val="21"/>
        </w:rPr>
        <w:t>5.2 全部设备安装、调试完毕，</w:t>
      </w:r>
      <w:r>
        <w:rPr>
          <w:rFonts w:hint="eastAsia"/>
          <w:kern w:val="0"/>
          <w:szCs w:val="21"/>
          <w:lang w:val="zh-CN"/>
        </w:rPr>
        <w:t>系统</w:t>
      </w:r>
      <w:r>
        <w:rPr>
          <w:rFonts w:hint="eastAsia"/>
          <w:kern w:val="0"/>
          <w:szCs w:val="21"/>
        </w:rPr>
        <w:t>搭建及数据迁移专业部署完毕，并通过甲方组织的验收合格，提交全部验收报告材料后10个工作日内，甲方凭乙方提供的验收报告、送货单等证明交易的依据、等额增值税专用正式发票向乙方支付合同总价的50%，为合同末期款。</w:t>
      </w:r>
    </w:p>
    <w:p>
      <w:pPr>
        <w:numPr>
          <w:ilvl w:val="0"/>
          <w:numId w:val="27"/>
        </w:numPr>
        <w:spacing w:line="360" w:lineRule="auto"/>
        <w:outlineLvl w:val="1"/>
        <w:rPr>
          <w:rFonts w:asciiTheme="minorEastAsia" w:hAnsiTheme="minorEastAsia" w:eastAsiaTheme="minorEastAsia" w:cstheme="minorEastAsia"/>
          <w:b/>
          <w:bCs/>
          <w:szCs w:val="21"/>
        </w:rPr>
      </w:pPr>
      <w:bookmarkStart w:id="497" w:name="_Toc2732"/>
      <w:bookmarkStart w:id="498" w:name="_Toc16930"/>
      <w:r>
        <w:rPr>
          <w:rFonts w:hint="eastAsia" w:asciiTheme="minorEastAsia" w:hAnsiTheme="minorEastAsia" w:eastAsiaTheme="minorEastAsia" w:cstheme="minorEastAsia"/>
          <w:b/>
          <w:bCs/>
          <w:szCs w:val="21"/>
        </w:rPr>
        <w:t>保密</w:t>
      </w:r>
      <w:bookmarkEnd w:id="497"/>
      <w:bookmarkEnd w:id="498"/>
    </w:p>
    <w:p>
      <w:pPr>
        <w:autoSpaceDE w:val="0"/>
        <w:autoSpaceDN w:val="0"/>
        <w:adjustRightInd w:val="0"/>
        <w:spacing w:line="360" w:lineRule="auto"/>
        <w:ind w:left="141"/>
        <w:rPr>
          <w:kern w:val="0"/>
          <w:szCs w:val="21"/>
        </w:rPr>
      </w:pPr>
      <w:r>
        <w:rPr>
          <w:rFonts w:hint="eastAsia"/>
          <w:kern w:val="0"/>
          <w:szCs w:val="21"/>
        </w:rPr>
        <w:t xml:space="preserve">    甲乙双方应履行保密义务，未经对方书面同意，任何一方都不得向与本合同无关的任何第三方泄露双方的业务、商务或技术秘密。</w:t>
      </w:r>
    </w:p>
    <w:p>
      <w:pPr>
        <w:spacing w:before="180" w:line="360" w:lineRule="auto"/>
        <w:outlineLvl w:val="1"/>
        <w:rPr>
          <w:rFonts w:ascii="宋体" w:hAnsi="宋体"/>
          <w:b/>
          <w:szCs w:val="21"/>
        </w:rPr>
      </w:pPr>
      <w:bookmarkStart w:id="499" w:name="_Toc14419"/>
      <w:bookmarkStart w:id="500" w:name="_Toc1426"/>
      <w:r>
        <w:rPr>
          <w:rFonts w:hint="eastAsia" w:ascii="宋体" w:hAnsi="宋体"/>
          <w:b/>
          <w:szCs w:val="21"/>
        </w:rPr>
        <w:t>七、知识产权</w:t>
      </w:r>
      <w:bookmarkEnd w:id="499"/>
      <w:bookmarkEnd w:id="500"/>
    </w:p>
    <w:p>
      <w:pPr>
        <w:autoSpaceDE w:val="0"/>
        <w:autoSpaceDN w:val="0"/>
        <w:adjustRightInd w:val="0"/>
        <w:spacing w:line="360" w:lineRule="auto"/>
        <w:ind w:left="141"/>
        <w:rPr>
          <w:kern w:val="0"/>
          <w:szCs w:val="21"/>
        </w:rPr>
      </w:pPr>
      <w:r>
        <w:rPr>
          <w:rFonts w:hint="eastAsia"/>
          <w:kern w:val="0"/>
          <w:szCs w:val="21"/>
        </w:rPr>
        <w:t>7.1 乙方应保证，</w:t>
      </w:r>
      <w:r>
        <w:rPr>
          <w:rFonts w:hint="eastAsia"/>
          <w:kern w:val="0"/>
          <w:szCs w:val="21"/>
          <w:lang w:val="en-GB"/>
        </w:rPr>
        <w:t>其响应报价中必须包括合法获取该知识产权的一切相关费用，如</w:t>
      </w:r>
      <w:r>
        <w:rPr>
          <w:rFonts w:hint="eastAsia"/>
          <w:kern w:val="0"/>
          <w:szCs w:val="21"/>
        </w:rPr>
        <w:t>甲方</w:t>
      </w:r>
      <w:r>
        <w:rPr>
          <w:rFonts w:hint="eastAsia"/>
          <w:kern w:val="0"/>
          <w:szCs w:val="21"/>
          <w:lang w:val="en-GB"/>
        </w:rPr>
        <w:t>没有单独列出的，视为已包含在相应报价中</w:t>
      </w:r>
      <w:r>
        <w:rPr>
          <w:rFonts w:hint="eastAsia"/>
          <w:kern w:val="0"/>
          <w:szCs w:val="21"/>
        </w:rPr>
        <w:t>。甲方在中华人民共和国使用该货物或货物的任何一部份时，免受第三方提出的侵其专利权、商标权或其他知识产权的起诉。如发生此类纠纷，由乙方承担一切责任。乙方并应保证，其提供的所有软件均是正版软件；使用中如发现盗版，甲方保留追诉权。</w:t>
      </w:r>
    </w:p>
    <w:p>
      <w:pPr>
        <w:autoSpaceDE w:val="0"/>
        <w:autoSpaceDN w:val="0"/>
        <w:adjustRightInd w:val="0"/>
        <w:spacing w:line="360" w:lineRule="auto"/>
        <w:ind w:left="141"/>
        <w:rPr>
          <w:kern w:val="0"/>
          <w:szCs w:val="21"/>
        </w:rPr>
      </w:pPr>
      <w:r>
        <w:rPr>
          <w:rFonts w:hint="eastAsia"/>
          <w:kern w:val="0"/>
          <w:szCs w:val="21"/>
        </w:rPr>
        <w:t>7.2 乙方为执行本合同而提供的技术资料</w:t>
      </w:r>
      <w:r>
        <w:rPr>
          <w:rFonts w:hint="eastAsia"/>
          <w:kern w:val="0"/>
          <w:szCs w:val="21"/>
          <w:lang w:val="en-US" w:eastAsia="zh-CN"/>
        </w:rPr>
        <w:t>等</w:t>
      </w:r>
      <w:r>
        <w:rPr>
          <w:rFonts w:hint="eastAsia"/>
          <w:kern w:val="0"/>
          <w:szCs w:val="21"/>
        </w:rPr>
        <w:t>使用权归甲方所有。</w:t>
      </w:r>
    </w:p>
    <w:p>
      <w:pPr>
        <w:spacing w:before="180" w:line="360" w:lineRule="auto"/>
        <w:outlineLvl w:val="1"/>
        <w:rPr>
          <w:rFonts w:ascii="宋体" w:hAnsi="宋体"/>
          <w:b/>
          <w:szCs w:val="21"/>
        </w:rPr>
      </w:pPr>
      <w:bookmarkStart w:id="501" w:name="_Toc28299"/>
      <w:bookmarkStart w:id="502" w:name="_Toc28636"/>
      <w:r>
        <w:rPr>
          <w:rFonts w:hint="eastAsia" w:ascii="宋体" w:hAnsi="宋体"/>
          <w:b/>
          <w:szCs w:val="21"/>
        </w:rPr>
        <w:t>八、违约责任与赔偿损失</w:t>
      </w:r>
      <w:bookmarkEnd w:id="501"/>
      <w:bookmarkEnd w:id="502"/>
    </w:p>
    <w:p>
      <w:pPr>
        <w:autoSpaceDE w:val="0"/>
        <w:autoSpaceDN w:val="0"/>
        <w:adjustRightInd w:val="0"/>
        <w:spacing w:line="360" w:lineRule="auto"/>
        <w:ind w:left="141"/>
        <w:rPr>
          <w:kern w:val="0"/>
          <w:szCs w:val="21"/>
        </w:rPr>
      </w:pPr>
      <w:r>
        <w:rPr>
          <w:rFonts w:hint="eastAsia"/>
          <w:kern w:val="0"/>
          <w:szCs w:val="21"/>
        </w:rPr>
        <w:t>8.1 乙方交付的货物和提供的服务不符合采购文件、竞选文件或本合同规定的，甲方有权拒收，并且乙方须向甲方支付本合同总价5%的违约金。</w:t>
      </w:r>
    </w:p>
    <w:p>
      <w:pPr>
        <w:autoSpaceDE w:val="0"/>
        <w:autoSpaceDN w:val="0"/>
        <w:adjustRightInd w:val="0"/>
        <w:spacing w:line="360" w:lineRule="auto"/>
        <w:ind w:left="141"/>
        <w:rPr>
          <w:kern w:val="0"/>
          <w:szCs w:val="21"/>
        </w:rPr>
      </w:pPr>
      <w:r>
        <w:rPr>
          <w:rFonts w:hint="eastAsia"/>
          <w:kern w:val="0"/>
          <w:szCs w:val="21"/>
        </w:rPr>
        <w:t>8.2 除不可抗力因素外，乙方如未能按本合同规定的交货时间交付货物和提供服务，应及时以书面形式将延迟的事实、可能延迟的时间和原因通知甲方。甲方收到乙方通知后，将尽快作出评审，决定是否同意延长交货期及收取误期赔偿费。甲方在不影响合同项下的其它补救措施情况下，可从合同未付款中扣除误期违约金。乙方从逾期之日起每日按本合同总价3‰的数额向甲方支付违约金；逾期30天以上（含30天）的，甲方有权终止合同，要求乙方支付违约金，并且给甲方造成的经济损失由乙方承担赔偿责任。</w:t>
      </w:r>
    </w:p>
    <w:p>
      <w:pPr>
        <w:autoSpaceDE w:val="0"/>
        <w:autoSpaceDN w:val="0"/>
        <w:adjustRightInd w:val="0"/>
        <w:spacing w:line="360" w:lineRule="auto"/>
        <w:ind w:left="141"/>
        <w:rPr>
          <w:kern w:val="0"/>
          <w:szCs w:val="21"/>
        </w:rPr>
      </w:pPr>
      <w:r>
        <w:rPr>
          <w:rFonts w:hint="eastAsia"/>
          <w:kern w:val="0"/>
          <w:szCs w:val="21"/>
        </w:rPr>
        <w:t>8.3 甲方无正当理由拒收货物/接受服务，到期拒付货物/服务款项的，甲方向乙方偿付本合同总价的5%的违约金。甲方逾期付款，则乙方有权延期交货，并有权要求甲方每日按本合同总价的3‰向乙方偿付违约金。</w:t>
      </w:r>
    </w:p>
    <w:p>
      <w:pPr>
        <w:autoSpaceDE w:val="0"/>
        <w:autoSpaceDN w:val="0"/>
        <w:adjustRightInd w:val="0"/>
        <w:spacing w:line="360" w:lineRule="auto"/>
        <w:ind w:left="141"/>
        <w:rPr>
          <w:kern w:val="0"/>
          <w:szCs w:val="21"/>
        </w:rPr>
      </w:pPr>
      <w:r>
        <w:rPr>
          <w:rFonts w:hint="eastAsia"/>
          <w:kern w:val="0"/>
          <w:szCs w:val="21"/>
        </w:rPr>
        <w:t>8.4 其它违约责任按《中华人民共和国合同法》处理。</w:t>
      </w:r>
    </w:p>
    <w:p>
      <w:pPr>
        <w:spacing w:before="180" w:line="360" w:lineRule="auto"/>
        <w:outlineLvl w:val="1"/>
        <w:rPr>
          <w:rFonts w:ascii="宋体" w:hAnsi="宋体"/>
          <w:b/>
          <w:szCs w:val="21"/>
        </w:rPr>
      </w:pPr>
      <w:bookmarkStart w:id="503" w:name="_Toc29328"/>
      <w:bookmarkStart w:id="504" w:name="_Toc10144"/>
      <w:r>
        <w:rPr>
          <w:rFonts w:hint="eastAsia" w:ascii="宋体" w:hAnsi="宋体"/>
          <w:b/>
          <w:szCs w:val="21"/>
        </w:rPr>
        <w:t>九、不可抗力</w:t>
      </w:r>
      <w:bookmarkEnd w:id="503"/>
      <w:bookmarkEnd w:id="504"/>
    </w:p>
    <w:p>
      <w:pPr>
        <w:autoSpaceDE w:val="0"/>
        <w:autoSpaceDN w:val="0"/>
        <w:adjustRightInd w:val="0"/>
        <w:spacing w:line="360" w:lineRule="auto"/>
        <w:ind w:left="141"/>
        <w:rPr>
          <w:kern w:val="0"/>
          <w:szCs w:val="21"/>
        </w:rPr>
      </w:pPr>
      <w:r>
        <w:rPr>
          <w:rFonts w:hint="eastAsia"/>
          <w:kern w:val="0"/>
          <w:szCs w:val="21"/>
        </w:rPr>
        <w:t>9.1 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诸如战争、严重水灾、洪水、台风、地震等。</w:t>
      </w:r>
    </w:p>
    <w:p>
      <w:pPr>
        <w:autoSpaceDE w:val="0"/>
        <w:autoSpaceDN w:val="0"/>
        <w:adjustRightInd w:val="0"/>
        <w:spacing w:line="360" w:lineRule="auto"/>
        <w:ind w:left="141"/>
        <w:rPr>
          <w:kern w:val="0"/>
          <w:szCs w:val="21"/>
        </w:rPr>
      </w:pPr>
      <w:r>
        <w:rPr>
          <w:rFonts w:hint="eastAsia"/>
          <w:kern w:val="0"/>
          <w:szCs w:val="21"/>
        </w:rPr>
        <w:t>9.2 受阻一方应在不可抗力事件发生后，尽快用电报、传真或电传通知对方，并于事件发生后5天内将有关部门出具的证明文件用特快专递或挂号信寄给对方审阅确认。一旦不可抗力事件的影响持续60天以上，双方应通过友好协商在合理的时间内达成进一步履行合同的协议或解除合同。</w:t>
      </w:r>
    </w:p>
    <w:p>
      <w:pPr>
        <w:spacing w:before="180" w:line="360" w:lineRule="auto"/>
        <w:outlineLvl w:val="1"/>
        <w:rPr>
          <w:rFonts w:ascii="宋体" w:hAnsi="宋体"/>
          <w:b/>
          <w:szCs w:val="21"/>
        </w:rPr>
      </w:pPr>
      <w:bookmarkStart w:id="505" w:name="_Toc1510"/>
      <w:bookmarkStart w:id="506" w:name="_Toc7968"/>
      <w:r>
        <w:rPr>
          <w:rFonts w:hint="eastAsia" w:ascii="宋体" w:hAnsi="宋体"/>
          <w:b/>
          <w:szCs w:val="21"/>
        </w:rPr>
        <w:t>十、争议及解决办法</w:t>
      </w:r>
      <w:bookmarkEnd w:id="505"/>
      <w:bookmarkEnd w:id="506"/>
    </w:p>
    <w:p>
      <w:pPr>
        <w:autoSpaceDE w:val="0"/>
        <w:autoSpaceDN w:val="0"/>
        <w:adjustRightInd w:val="0"/>
        <w:spacing w:line="360" w:lineRule="auto"/>
        <w:ind w:left="141"/>
        <w:rPr>
          <w:kern w:val="0"/>
          <w:szCs w:val="21"/>
        </w:rPr>
      </w:pPr>
      <w:r>
        <w:rPr>
          <w:rFonts w:hint="eastAsia"/>
          <w:kern w:val="0"/>
          <w:szCs w:val="21"/>
        </w:rPr>
        <w:t>10.1 本合同发生争议，由双方协商或由政府采购监督管理部门调解解决，协商或调解不成时按以下第1种方式解决：</w:t>
      </w:r>
    </w:p>
    <w:p>
      <w:pPr>
        <w:autoSpaceDE w:val="0"/>
        <w:autoSpaceDN w:val="0"/>
        <w:adjustRightInd w:val="0"/>
        <w:spacing w:line="360" w:lineRule="auto"/>
        <w:ind w:left="141"/>
        <w:rPr>
          <w:kern w:val="0"/>
          <w:szCs w:val="21"/>
        </w:rPr>
      </w:pPr>
      <w:r>
        <w:rPr>
          <w:rFonts w:hint="eastAsia"/>
          <w:kern w:val="0"/>
          <w:szCs w:val="21"/>
        </w:rPr>
        <w:t xml:space="preserve">  10.1.1 向广州仲裁委员会申请仲裁；</w:t>
      </w:r>
    </w:p>
    <w:p>
      <w:pPr>
        <w:autoSpaceDE w:val="0"/>
        <w:autoSpaceDN w:val="0"/>
        <w:adjustRightInd w:val="0"/>
        <w:spacing w:line="360" w:lineRule="auto"/>
        <w:ind w:left="141"/>
        <w:rPr>
          <w:kern w:val="0"/>
          <w:szCs w:val="21"/>
        </w:rPr>
      </w:pPr>
      <w:r>
        <w:rPr>
          <w:rFonts w:hint="eastAsia"/>
          <w:kern w:val="0"/>
          <w:szCs w:val="21"/>
        </w:rPr>
        <w:t xml:space="preserve">  10.1.2 向甲方所在地人民法院提起诉讼。</w:t>
      </w:r>
    </w:p>
    <w:p>
      <w:pPr>
        <w:spacing w:before="180" w:line="360" w:lineRule="auto"/>
        <w:outlineLvl w:val="1"/>
        <w:rPr>
          <w:rFonts w:ascii="宋体" w:hAnsi="宋体"/>
          <w:b/>
          <w:szCs w:val="21"/>
        </w:rPr>
      </w:pPr>
      <w:bookmarkStart w:id="507" w:name="_Toc29540"/>
      <w:bookmarkStart w:id="508" w:name="_Toc5161"/>
      <w:r>
        <w:rPr>
          <w:rFonts w:hint="eastAsia" w:ascii="宋体" w:hAnsi="宋体"/>
          <w:b/>
          <w:szCs w:val="21"/>
        </w:rPr>
        <w:t>十一、法律效力</w:t>
      </w:r>
      <w:bookmarkEnd w:id="507"/>
      <w:bookmarkEnd w:id="508"/>
    </w:p>
    <w:p>
      <w:pPr>
        <w:autoSpaceDE w:val="0"/>
        <w:autoSpaceDN w:val="0"/>
        <w:adjustRightInd w:val="0"/>
        <w:spacing w:line="360" w:lineRule="auto"/>
        <w:ind w:left="141"/>
        <w:rPr>
          <w:kern w:val="0"/>
          <w:szCs w:val="21"/>
        </w:rPr>
      </w:pPr>
      <w:r>
        <w:rPr>
          <w:rFonts w:hint="eastAsia"/>
          <w:kern w:val="0"/>
          <w:szCs w:val="21"/>
        </w:rPr>
        <w:t>11.1 本合同按照中华人民共和国的法律进行解释，自签订之日起生效。</w:t>
      </w:r>
    </w:p>
    <w:p>
      <w:pPr>
        <w:autoSpaceDE w:val="0"/>
        <w:autoSpaceDN w:val="0"/>
        <w:adjustRightInd w:val="0"/>
        <w:spacing w:line="360" w:lineRule="auto"/>
        <w:ind w:left="141"/>
        <w:rPr>
          <w:kern w:val="0"/>
          <w:szCs w:val="21"/>
        </w:rPr>
      </w:pPr>
      <w:r>
        <w:rPr>
          <w:rFonts w:hint="eastAsia"/>
          <w:kern w:val="0"/>
          <w:szCs w:val="21"/>
        </w:rPr>
        <w:t>11.2 本合同之所有附件均为合同的有效组成部分，与本合同具有同样法律效力。</w:t>
      </w:r>
    </w:p>
    <w:p>
      <w:pPr>
        <w:autoSpaceDE w:val="0"/>
        <w:autoSpaceDN w:val="0"/>
        <w:adjustRightInd w:val="0"/>
        <w:spacing w:line="360" w:lineRule="auto"/>
        <w:ind w:left="141"/>
        <w:rPr>
          <w:kern w:val="0"/>
          <w:szCs w:val="21"/>
        </w:rPr>
      </w:pPr>
      <w:r>
        <w:rPr>
          <w:rFonts w:hint="eastAsia"/>
          <w:kern w:val="0"/>
          <w:szCs w:val="21"/>
        </w:rPr>
        <w:t>11.3 在执行本合同的过程中，所有经甲乙双方签署确认的文件（包括采购订单、补充协议、传真文件、往来信函）将成为本合同的有效组成部分。</w:t>
      </w:r>
    </w:p>
    <w:p>
      <w:pPr>
        <w:autoSpaceDE w:val="0"/>
        <w:autoSpaceDN w:val="0"/>
        <w:adjustRightInd w:val="0"/>
        <w:spacing w:line="360" w:lineRule="auto"/>
        <w:ind w:left="141"/>
        <w:rPr>
          <w:kern w:val="0"/>
          <w:szCs w:val="21"/>
        </w:rPr>
      </w:pPr>
      <w:r>
        <w:rPr>
          <w:rFonts w:hint="eastAsia"/>
          <w:kern w:val="0"/>
          <w:szCs w:val="21"/>
        </w:rPr>
        <w:t>11.4 本合同一式</w:t>
      </w:r>
      <w:r>
        <w:rPr>
          <w:rFonts w:hint="eastAsia"/>
          <w:kern w:val="0"/>
          <w:szCs w:val="21"/>
          <w:u w:val="single"/>
        </w:rPr>
        <w:t xml:space="preserve"> 叁 </w:t>
      </w:r>
      <w:r>
        <w:rPr>
          <w:rFonts w:hint="eastAsia"/>
          <w:kern w:val="0"/>
          <w:szCs w:val="21"/>
        </w:rPr>
        <w:t>份，甲方执</w:t>
      </w:r>
      <w:r>
        <w:rPr>
          <w:rFonts w:hint="eastAsia"/>
          <w:kern w:val="0"/>
          <w:szCs w:val="21"/>
          <w:u w:val="single"/>
        </w:rPr>
        <w:t xml:space="preserve"> 贰 </w:t>
      </w:r>
      <w:r>
        <w:rPr>
          <w:rFonts w:hint="eastAsia"/>
          <w:kern w:val="0"/>
          <w:szCs w:val="21"/>
        </w:rPr>
        <w:t>份，乙方执</w:t>
      </w:r>
      <w:r>
        <w:rPr>
          <w:rFonts w:hint="eastAsia"/>
          <w:kern w:val="0"/>
          <w:szCs w:val="21"/>
          <w:u w:val="single"/>
        </w:rPr>
        <w:t xml:space="preserve"> 壹 </w:t>
      </w:r>
      <w:r>
        <w:rPr>
          <w:rFonts w:hint="eastAsia"/>
          <w:kern w:val="0"/>
          <w:szCs w:val="21"/>
        </w:rPr>
        <w:t>份。自双方签字盖章后生效。</w:t>
      </w:r>
    </w:p>
    <w:p>
      <w:pPr>
        <w:autoSpaceDE w:val="0"/>
        <w:autoSpaceDN w:val="0"/>
        <w:adjustRightInd w:val="0"/>
        <w:spacing w:line="360" w:lineRule="auto"/>
        <w:ind w:left="141"/>
        <w:rPr>
          <w:kern w:val="0"/>
          <w:szCs w:val="21"/>
        </w:rPr>
      </w:pPr>
      <w:r>
        <w:rPr>
          <w:rFonts w:hint="eastAsia"/>
          <w:kern w:val="0"/>
          <w:szCs w:val="21"/>
        </w:rPr>
        <w:t>11.5 本合同未尽事宜，由双方协商处理。</w:t>
      </w:r>
    </w:p>
    <w:p>
      <w:pPr>
        <w:spacing w:before="180" w:line="360" w:lineRule="auto"/>
        <w:outlineLvl w:val="1"/>
        <w:rPr>
          <w:rFonts w:ascii="宋体" w:hAnsi="宋体"/>
          <w:b/>
          <w:szCs w:val="21"/>
        </w:rPr>
      </w:pPr>
      <w:bookmarkStart w:id="509" w:name="_Toc15013"/>
      <w:bookmarkStart w:id="510" w:name="_Toc25436"/>
      <w:r>
        <w:rPr>
          <w:rFonts w:hint="eastAsia" w:ascii="宋体" w:hAnsi="宋体"/>
          <w:b/>
          <w:szCs w:val="21"/>
        </w:rPr>
        <w:t>十二、合同附件</w:t>
      </w:r>
      <w:bookmarkEnd w:id="509"/>
      <w:bookmarkEnd w:id="510"/>
    </w:p>
    <w:p>
      <w:pPr>
        <w:autoSpaceDE w:val="0"/>
        <w:autoSpaceDN w:val="0"/>
        <w:adjustRightInd w:val="0"/>
        <w:spacing w:line="360" w:lineRule="auto"/>
        <w:ind w:left="141"/>
        <w:rPr>
          <w:kern w:val="0"/>
          <w:szCs w:val="21"/>
        </w:rPr>
      </w:pPr>
      <w:r>
        <w:rPr>
          <w:rFonts w:hint="eastAsia"/>
          <w:kern w:val="0"/>
          <w:szCs w:val="21"/>
        </w:rPr>
        <w:t>12.1 附件一：中选通知书</w:t>
      </w:r>
    </w:p>
    <w:p>
      <w:pPr>
        <w:autoSpaceDE w:val="0"/>
        <w:autoSpaceDN w:val="0"/>
        <w:adjustRightInd w:val="0"/>
        <w:spacing w:line="360" w:lineRule="auto"/>
        <w:ind w:left="141"/>
        <w:rPr>
          <w:kern w:val="0"/>
          <w:szCs w:val="21"/>
        </w:rPr>
      </w:pPr>
      <w:r>
        <w:rPr>
          <w:rFonts w:hint="eastAsia"/>
          <w:kern w:val="0"/>
          <w:szCs w:val="21"/>
        </w:rPr>
        <w:t>12.2 附件二：配置清单</w:t>
      </w:r>
    </w:p>
    <w:bookmarkEnd w:id="485"/>
    <w:bookmarkEnd w:id="486"/>
    <w:p>
      <w:pPr>
        <w:pStyle w:val="7"/>
        <w:snapToGrid w:val="0"/>
        <w:spacing w:before="120" w:line="360" w:lineRule="auto"/>
        <w:ind w:firstLine="0" w:firstLineChars="0"/>
        <w:rPr>
          <w:rFonts w:asciiTheme="minorEastAsia" w:hAnsiTheme="minorEastAsia" w:eastAsiaTheme="minorEastAsia" w:cstheme="minorEastAsia"/>
          <w:b/>
          <w:sz w:val="21"/>
          <w:szCs w:val="21"/>
        </w:rPr>
        <w:sectPr>
          <w:pgSz w:w="11906" w:h="16838"/>
          <w:pgMar w:top="2098" w:right="1474" w:bottom="1984" w:left="1587" w:header="851" w:footer="992" w:gutter="0"/>
          <w:cols w:space="0" w:num="1"/>
          <w:docGrid w:type="lines" w:linePitch="318" w:charSpace="0"/>
        </w:sectPr>
      </w:pPr>
    </w:p>
    <w:p>
      <w:pPr>
        <w:pStyle w:val="7"/>
        <w:snapToGrid w:val="0"/>
        <w:spacing w:before="120" w:line="360" w:lineRule="auto"/>
        <w:ind w:firstLine="0" w:firstLineChars="0"/>
        <w:rPr>
          <w:rFonts w:asciiTheme="minorEastAsia" w:hAnsiTheme="minorEastAsia" w:eastAsiaTheme="minorEastAsia" w:cstheme="minorEastAsia"/>
          <w:b/>
          <w:sz w:val="21"/>
          <w:szCs w:val="21"/>
        </w:rPr>
      </w:pPr>
    </w:p>
    <w:p>
      <w:pPr>
        <w:pStyle w:val="7"/>
        <w:snapToGrid w:val="0"/>
        <w:spacing w:before="120" w:line="360" w:lineRule="auto"/>
        <w:ind w:firstLine="0" w:firstLineChars="0"/>
        <w:rPr>
          <w:rFonts w:asciiTheme="minorEastAsia" w:hAnsiTheme="minorEastAsia" w:eastAsiaTheme="minorEastAsia" w:cstheme="minorEastAsia"/>
          <w:b/>
          <w:sz w:val="21"/>
          <w:szCs w:val="21"/>
        </w:rPr>
      </w:pPr>
      <w:r>
        <w:rPr>
          <w:rFonts w:asciiTheme="minorEastAsia" w:hAnsiTheme="minorEastAsia" w:eastAsiaTheme="minorEastAsia" w:cstheme="minorEastAsia"/>
          <w:b/>
          <w:sz w:val="21"/>
          <w:szCs w:val="21"/>
        </w:rPr>
        <w:br w:type="column"/>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甲方（盖章）：广州检验检测认证集团有限公司  </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地址：广州市番禺区石楼镇潮田工业区珠江路1-2号综合楼307 </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法定代表人/委托代理人：</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税号：91440101304502616E </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电话：020-31061306</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开户名称：广州检验检测认证集团有限公司</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银行帐号：3602000129201848924 </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开户行：工商银行广州第一支行</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签订日期：20</w:t>
      </w:r>
      <w:r>
        <w:rPr>
          <w:rFonts w:hint="eastAsia" w:asciiTheme="minorEastAsia" w:hAnsiTheme="minorEastAsia" w:eastAsiaTheme="minorEastAsia" w:cstheme="minorEastAsia"/>
          <w:b w:val="0"/>
          <w:bCs/>
          <w:sz w:val="21"/>
          <w:szCs w:val="21"/>
          <w:lang w:val="en-US" w:eastAsia="zh-CN"/>
        </w:rPr>
        <w:t>20</w:t>
      </w:r>
      <w:r>
        <w:rPr>
          <w:rFonts w:hint="eastAsia" w:asciiTheme="minorEastAsia" w:hAnsiTheme="minorEastAsia" w:eastAsiaTheme="minorEastAsia" w:cstheme="minorEastAsia"/>
          <w:b w:val="0"/>
          <w:bCs/>
          <w:sz w:val="21"/>
          <w:szCs w:val="21"/>
        </w:rPr>
        <w:t xml:space="preserve">年    月    日 </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乙方（盖章）</w:t>
      </w:r>
      <w:r>
        <w:rPr>
          <w:rFonts w:hint="eastAsia" w:asciiTheme="minorEastAsia" w:hAnsiTheme="minorEastAsia" w:eastAsiaTheme="minorEastAsia" w:cstheme="minorEastAsia"/>
          <w:b w:val="0"/>
          <w:bCs/>
          <w:sz w:val="21"/>
          <w:szCs w:val="21"/>
          <w:lang w:eastAsia="zh-CN"/>
        </w:rPr>
        <w:t>：</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地址：</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法定代表人/委托代理人： </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税号：</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电话：</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开户名称：</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银行帐号：</w:t>
      </w: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 xml:space="preserve">开户行： </w:t>
      </w:r>
    </w:p>
    <w:p>
      <w:pPr>
        <w:pStyle w:val="7"/>
        <w:snapToGrid w:val="0"/>
        <w:spacing w:before="120" w:line="360" w:lineRule="auto"/>
        <w:ind w:firstLine="0" w:firstLineChars="0"/>
        <w:rPr>
          <w:rFonts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签订日期：20</w:t>
      </w:r>
      <w:r>
        <w:rPr>
          <w:rFonts w:hint="eastAsia" w:asciiTheme="minorEastAsia" w:hAnsiTheme="minorEastAsia" w:eastAsiaTheme="minorEastAsia" w:cstheme="minorEastAsia"/>
          <w:b w:val="0"/>
          <w:bCs/>
          <w:sz w:val="21"/>
          <w:szCs w:val="21"/>
          <w:lang w:val="en-US" w:eastAsia="zh-CN"/>
        </w:rPr>
        <w:t>20</w:t>
      </w:r>
      <w:r>
        <w:rPr>
          <w:rFonts w:hint="eastAsia" w:asciiTheme="minorEastAsia" w:hAnsiTheme="minorEastAsia" w:eastAsiaTheme="minorEastAsia" w:cstheme="minorEastAsia"/>
          <w:b w:val="0"/>
          <w:bCs/>
          <w:sz w:val="21"/>
          <w:szCs w:val="21"/>
        </w:rPr>
        <w:t xml:space="preserve">年    月     日 </w:t>
      </w:r>
    </w:p>
    <w:p>
      <w:pPr>
        <w:pStyle w:val="7"/>
        <w:snapToGrid w:val="0"/>
        <w:spacing w:before="120" w:line="360" w:lineRule="auto"/>
        <w:ind w:firstLine="0" w:firstLineChars="0"/>
        <w:rPr>
          <w:rFonts w:asciiTheme="minorEastAsia" w:hAnsiTheme="minorEastAsia" w:eastAsiaTheme="minorEastAsia" w:cstheme="minorEastAsia"/>
          <w:b/>
          <w:sz w:val="21"/>
          <w:szCs w:val="21"/>
        </w:rPr>
        <w:sectPr>
          <w:type w:val="continuous"/>
          <w:pgSz w:w="11906" w:h="16838"/>
          <w:pgMar w:top="2098" w:right="1474" w:bottom="1984" w:left="1587" w:header="851" w:footer="992" w:gutter="0"/>
          <w:cols w:equalWidth="0" w:num="2">
            <w:col w:w="4210" w:space="425"/>
            <w:col w:w="4210"/>
          </w:cols>
          <w:docGrid w:type="lines" w:linePitch="318" w:charSpace="0"/>
        </w:sectPr>
      </w:pPr>
    </w:p>
    <w:p>
      <w:pPr>
        <w:pStyle w:val="7"/>
        <w:snapToGrid w:val="0"/>
        <w:spacing w:before="120" w:line="360" w:lineRule="auto"/>
        <w:ind w:firstLine="0" w:firstLineChars="0"/>
        <w:rPr>
          <w:rFonts w:hint="eastAsia" w:asciiTheme="minorEastAsia" w:hAnsiTheme="minorEastAsia" w:eastAsiaTheme="minorEastAsia" w:cstheme="minorEastAsia"/>
          <w:b w:val="0"/>
          <w:bCs/>
          <w:sz w:val="21"/>
          <w:szCs w:val="21"/>
        </w:rPr>
      </w:pPr>
    </w:p>
    <w:sectPr>
      <w:type w:val="continuous"/>
      <w:pgSz w:w="11906" w:h="16838"/>
      <w:pgMar w:top="2098" w:right="1474" w:bottom="1984" w:left="1587" w:header="851" w:footer="992" w:gutter="0"/>
      <w:cols w:equalWidth="0" w:num="2">
        <w:col w:w="4210" w:space="425"/>
        <w:col w:w="4210"/>
      </w:cols>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swiss"/>
    <w:pitch w:val="default"/>
    <w:sig w:usb0="00000687" w:usb1="00000000" w:usb2="00000000" w:usb3="00000000" w:csb0="200000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icrosoft YaHei UI">
    <w:panose1 w:val="020B0503020204020204"/>
    <w:charset w:val="86"/>
    <w:family w:val="swiss"/>
    <w:pitch w:val="default"/>
    <w:sig w:usb0="80000287" w:usb1="2ACF3C50" w:usb2="00000016" w:usb3="00000000" w:csb0="0004001F" w:csb1="00000000"/>
  </w:font>
  <w:font w:name="方正黑体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Museo Sans For Dell 300">
    <w:altName w:val="宋体"/>
    <w:panose1 w:val="00000000000000000000"/>
    <w:charset w:val="86"/>
    <w:family w:val="roman"/>
    <w:pitch w:val="default"/>
    <w:sig w:usb0="00000000" w:usb1="00000000" w:usb2="00000010" w:usb3="00000000" w:csb0="00040000" w:csb1="00000000"/>
  </w:font>
  <w:font w:name="MuseoSansForDell">
    <w:altName w:val="宋体"/>
    <w:panose1 w:val="00000000000000000000"/>
    <w:charset w:val="86"/>
    <w:family w:val="auto"/>
    <w:pitch w:val="default"/>
    <w:sig w:usb0="00000000" w:usb1="00000000" w:usb2="00000010" w:usb3="00000000" w:csb0="00040001" w:csb1="00000000"/>
  </w:font>
  <w:font w:name="Calibri">
    <w:panose1 w:val="020F0502020204030204"/>
    <w:charset w:val="86"/>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240" w:lineRule="exact"/>
      <w:jc w:val="center"/>
      <w:rPr>
        <w:rFonts w:ascii="微软雅黑" w:hAnsi="微软雅黑" w:eastAsia="微软雅黑" w:cs="微软雅黑"/>
        <w:sz w:val="15"/>
        <w:szCs w:val="15"/>
      </w:rPr>
    </w:pPr>
    <w:r>
      <w:rPr>
        <w:sz w:val="15"/>
        <w:szCs w:val="15"/>
      </w:rPr>
      <mc:AlternateContent>
        <mc:Choice Requires="wps">
          <w:drawing>
            <wp:anchor distT="0" distB="0" distL="114300" distR="114300" simplePos="0" relativeHeight="251687936" behindDoc="0" locked="0" layoutInCell="1" allowOverlap="1">
              <wp:simplePos x="0" y="0"/>
              <wp:positionH relativeFrom="column">
                <wp:posOffset>1270</wp:posOffset>
              </wp:positionH>
              <wp:positionV relativeFrom="paragraph">
                <wp:posOffset>635</wp:posOffset>
              </wp:positionV>
              <wp:extent cx="5869940" cy="0"/>
              <wp:effectExtent l="0" t="0" r="0" b="0"/>
              <wp:wrapNone/>
              <wp:docPr id="3" name="直接连接符 3"/>
              <wp:cNvGraphicFramePr/>
              <a:graphic xmlns:a="http://schemas.openxmlformats.org/drawingml/2006/main">
                <a:graphicData uri="http://schemas.microsoft.com/office/word/2010/wordprocessingShape">
                  <wps:wsp>
                    <wps:cNvCnPr/>
                    <wps:spPr>
                      <a:xfrm>
                        <a:off x="854075" y="9710420"/>
                        <a:ext cx="5869940" cy="0"/>
                      </a:xfrm>
                      <a:prstGeom prst="line">
                        <a:avLst/>
                      </a:prstGeom>
                      <a:noFill/>
                      <a:ln w="6350" cap="flat" cmpd="sng" algn="ctr">
                        <a:solidFill>
                          <a:srgbClr val="A5A5A5"/>
                        </a:solidFill>
                        <a:prstDash val="solid"/>
                        <a:miter lim="800000"/>
                      </a:ln>
                      <a:effectLst/>
                    </wps:spPr>
                    <wps:bodyPr/>
                  </wps:wsp>
                </a:graphicData>
              </a:graphic>
            </wp:anchor>
          </w:drawing>
        </mc:Choice>
        <mc:Fallback>
          <w:pict>
            <v:line id="_x0000_s1026" o:spid="_x0000_s1026" o:spt="20" style="position:absolute;left:0pt;margin-left:0.1pt;margin-top:0.05pt;height:0pt;width:462.2pt;z-index:251687936;mso-width-relative:page;mso-height-relative:page;" filled="f" stroked="t" coordsize="21600,21600" o:gfxdata="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r1cnn0AAAAAIBAAAPAAAAAAAAAAEA&#10;IAAAACIAAABkcnMvZG93bnJldi54bWxQSwECFAAUAAAACACHTuJAKZ5vHt4BAAB8AwAADgAAAAAA&#10;AAABACAAAAAfAQAAZHJzL2Uyb0RvYy54bWxQSwUGAAAAAAYABgBZAQAAbwUAAAAA&#10;">
              <v:fill on="f" focussize="0,0"/>
              <v:stroke weight="0.5pt" color="#A5A5A5" miterlimit="8" joinstyle="miter"/>
              <v:imagedata o:title=""/>
              <o:lock v:ext="edit" aspectratio="f"/>
            </v:line>
          </w:pict>
        </mc:Fallback>
      </mc:AlternateContent>
    </w:r>
    <w:r>
      <w:rPr>
        <w:rFonts w:hint="eastAsia" w:ascii="微软雅黑" w:hAnsi="微软雅黑" w:eastAsia="微软雅黑" w:cs="微软雅黑"/>
        <w:sz w:val="15"/>
        <w:szCs w:val="15"/>
      </w:rPr>
      <w:t>广州总部：广州市番禺区珠江路1号     电话：+86 (0)20-</w:t>
    </w:r>
    <w:r>
      <w:rPr>
        <w:rFonts w:hint="eastAsia" w:ascii="微软雅黑" w:hAnsi="微软雅黑" w:eastAsia="微软雅黑" w:cs="微软雅黑"/>
        <w:sz w:val="15"/>
        <w:szCs w:val="15"/>
        <w:lang w:val="en-US" w:eastAsia="zh-CN"/>
      </w:rPr>
      <w:t>31061306</w:t>
    </w:r>
    <w:r>
      <w:rPr>
        <w:rFonts w:hint="eastAsia" w:ascii="微软雅黑" w:hAnsi="微软雅黑" w:eastAsia="微软雅黑" w:cs="微软雅黑"/>
        <w:sz w:val="15"/>
        <w:szCs w:val="15"/>
      </w:rPr>
      <w:t xml:space="preserve">     传真：+86 (0)20-83655389</w:t>
    </w:r>
  </w:p>
  <w:p>
    <w:pPr>
      <w:pStyle w:val="13"/>
      <w:spacing w:line="240" w:lineRule="exact"/>
      <w:jc w:val="center"/>
      <w:rPr>
        <w:rFonts w:ascii="微软雅黑" w:hAnsi="微软雅黑" w:eastAsia="微软雅黑" w:cs="微软雅黑"/>
        <w:sz w:val="15"/>
        <w:szCs w:val="15"/>
      </w:rPr>
    </w:pPr>
    <w:r>
      <w:rPr>
        <w:rFonts w:hint="eastAsia" w:ascii="微软雅黑" w:hAnsi="微软雅黑" w:eastAsia="微软雅黑" w:cs="微软雅黑"/>
        <w:sz w:val="15"/>
        <w:szCs w:val="15"/>
      </w:rPr>
      <w:t>Add: No.1, Zhujiang Road, Panyu District, Guangzhou.   Tel: +86 (0)20-83655389   Fax: +86 (0)20-83655389</w:t>
    </w:r>
  </w:p>
  <w:p>
    <w:pPr>
      <w:pStyle w:val="13"/>
      <w:jc w:val="center"/>
    </w:pPr>
    <w:r>
      <w:rPr>
        <w:rFonts w:hint="eastAsia" w:ascii="微软雅黑" w:hAnsi="微软雅黑" w:eastAsia="微软雅黑" w:cs="微软雅黑"/>
        <w:sz w:val="15"/>
        <w:szCs w:val="15"/>
      </w:rPr>
      <w:t>Web: WWW.GZGJJT.CN</w:t>
    </w:r>
    <w:r>
      <w:rPr>
        <w:rFonts w:ascii="微软雅黑" w:hAnsi="微软雅黑" w:eastAsia="微软雅黑" w:cs="微软雅黑"/>
        <w:sz w:val="15"/>
        <w:szCs w:val="15"/>
      </w:rPr>
      <mc:AlternateContent>
        <mc:Choice Requires="wps">
          <w:drawing>
            <wp:anchor distT="0" distB="0" distL="114300" distR="114300" simplePos="0" relativeHeight="251686912" behindDoc="0" locked="0" layoutInCell="0" allowOverlap="1">
              <wp:simplePos x="0" y="0"/>
              <wp:positionH relativeFrom="column">
                <wp:posOffset>0</wp:posOffset>
              </wp:positionH>
              <wp:positionV relativeFrom="paragraph">
                <wp:posOffset>-172720</wp:posOffset>
              </wp:positionV>
              <wp:extent cx="635" cy="0"/>
              <wp:effectExtent l="0" t="0" r="0" b="0"/>
              <wp:wrapNone/>
              <wp:docPr id="7" name="Line 1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0pt;margin-top:-13.6pt;height:0pt;width:0.05pt;z-index:251686912;mso-width-relative:page;mso-height-relative:page;" filled="f" stroked="t" coordsize="21600,21600" o:allowincell="f" o:gfxdata="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QF7xjNEAAAAF&#10;AQAADwAAAAAAAAABACAAAAAiAAAAZHJzL2Rvd25yZXYueG1sUEsBAhQAFAAAAAgAh07iQKY6Yv+x&#10;AQAAXAMAAA4AAAAAAAAAAQAgAAAAIAEAAGRycy9lMm9Eb2MueG1sUEsFBgAAAAAGAAYAWQEAAEMF&#10;AAAAAA==&#10;">
              <v:fill on="f" focussize="0,0"/>
              <v:stroke color="#000000"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drawing>
        <wp:inline distT="0" distB="0" distL="114300" distR="114300">
          <wp:extent cx="1799590" cy="391160"/>
          <wp:effectExtent l="0" t="0" r="10160" b="8890"/>
          <wp:docPr id="11" name="图片 0" descr="广检集团logo横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0" descr="广检集团logo横版.png"/>
                  <pic:cNvPicPr>
                    <a:picLocks noChangeAspect="1"/>
                  </pic:cNvPicPr>
                </pic:nvPicPr>
                <pic:blipFill>
                  <a:blip r:embed="rId1"/>
                  <a:stretch>
                    <a:fillRect/>
                  </a:stretch>
                </pic:blipFill>
                <pic:spPr>
                  <a:xfrm>
                    <a:off x="0" y="0"/>
                    <a:ext cx="1800000" cy="391435"/>
                  </a:xfrm>
                  <a:prstGeom prst="rect">
                    <a:avLst/>
                  </a:prstGeom>
                  <a:noFill/>
                  <a:ln w="9525">
                    <a:noFill/>
                  </a:ln>
                  <a:effectLst/>
                </pic:spPr>
              </pic:pic>
            </a:graphicData>
          </a:graphic>
        </wp:inline>
      </w:drawing>
    </w:r>
    <w:r>
      <mc:AlternateContent>
        <mc:Choice Requires="wps">
          <w:drawing>
            <wp:anchor distT="0" distB="0" distL="114300" distR="114300" simplePos="0" relativeHeight="251688960" behindDoc="0" locked="0" layoutInCell="1" allowOverlap="1">
              <wp:simplePos x="0" y="0"/>
              <wp:positionH relativeFrom="margin">
                <wp:posOffset>4856480</wp:posOffset>
              </wp:positionH>
              <wp:positionV relativeFrom="paragraph">
                <wp:posOffset>238125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40</w:t>
                          </w:r>
                          <w:r>
                            <w:rPr>
                              <w:sz w:val="18"/>
                            </w:rPr>
                            <w:fldChar w:fldCharType="end"/>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2.4pt;margin-top:18.75pt;height:144pt;width:144pt;mso-position-horizontal-relative:margin;mso-wrap-style:none;z-index:251688960;mso-width-relative:page;mso-height-relative:page;" filled="f" stroked="f" coordsize="21600,21600" o:gfxdata="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jvLHzXAAAACwEA&#10;AA8AAAAAAAAAAQAgAAAAIgAAAGRycy9kb3ducmV2LnhtbFBLAQIUABQAAAAIAIdO4kAjhYu2GwIA&#10;ACEEAAAOAAAAAAAAAAEAIAAAACYBAABkcnMvZTJvRG9jLnhtbFBLBQYAAAAABgAGAFkBAACzBQAA&#10;AAA=&#10;">
              <v:fill on="f" focussize="0,0"/>
              <v:stroke on="f" weight="0.5pt"/>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19</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40</w:t>
                    </w:r>
                    <w:r>
                      <w:rPr>
                        <w:sz w:val="18"/>
                      </w:rPr>
                      <w:fldChar w:fldCharType="end"/>
                    </w:r>
                    <w:r>
                      <w:rPr>
                        <w:rFonts w:hint="eastAsia"/>
                        <w:sz w:val="18"/>
                      </w:rPr>
                      <w:t xml:space="preserve"> 页</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59CB89"/>
    <w:multiLevelType w:val="singleLevel"/>
    <w:tmpl w:val="8F59CB89"/>
    <w:lvl w:ilvl="0" w:tentative="0">
      <w:start w:val="1"/>
      <w:numFmt w:val="chineseCounting"/>
      <w:suff w:val="space"/>
      <w:lvlText w:val="第%1章"/>
      <w:lvlJc w:val="left"/>
      <w:rPr>
        <w:rFonts w:hint="eastAsia"/>
      </w:rPr>
    </w:lvl>
  </w:abstractNum>
  <w:abstractNum w:abstractNumId="1">
    <w:nsid w:val="B8FA0DBB"/>
    <w:multiLevelType w:val="singleLevel"/>
    <w:tmpl w:val="B8FA0DBB"/>
    <w:lvl w:ilvl="0" w:tentative="0">
      <w:start w:val="1"/>
      <w:numFmt w:val="decimal"/>
      <w:lvlText w:val="3.3.%1"/>
      <w:lvlJc w:val="left"/>
      <w:pPr>
        <w:tabs>
          <w:tab w:val="left" w:pos="0"/>
        </w:tabs>
        <w:ind w:left="113" w:hanging="113"/>
      </w:pPr>
      <w:rPr>
        <w:rFonts w:hint="default" w:ascii="Times New Roman" w:hAnsi="Times New Roman" w:eastAsia="宋体" w:cs="Times New Roman"/>
      </w:rPr>
    </w:lvl>
  </w:abstractNum>
  <w:abstractNum w:abstractNumId="2">
    <w:nsid w:val="00000009"/>
    <w:multiLevelType w:val="multilevel"/>
    <w:tmpl w:val="00000009"/>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multilevel"/>
    <w:tmpl w:val="0000000D"/>
    <w:lvl w:ilvl="0" w:tentative="0">
      <w:start w:val="1"/>
      <w:numFmt w:val="japaneseCounting"/>
      <w:lvlText w:val="%1、"/>
      <w:lvlJc w:val="left"/>
      <w:pPr>
        <w:tabs>
          <w:tab w:val="left" w:pos="480"/>
        </w:tabs>
        <w:ind w:left="480" w:hanging="48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0"/>
    <w:multiLevelType w:val="multilevel"/>
    <w:tmpl w:val="00000010"/>
    <w:lvl w:ilvl="0" w:tentative="0">
      <w:start w:val="5"/>
      <w:numFmt w:val="chineseCounting"/>
      <w:suff w:val="nothing"/>
      <w:lvlText w:val="%1、"/>
      <w:lvlJc w:val="left"/>
    </w:lvl>
    <w:lvl w:ilvl="1" w:tentative="0">
      <w:start w:val="1"/>
      <w:numFmt w:val="decimal"/>
      <w:lvlText w:val="%2."/>
      <w:lvlJc w:val="left"/>
      <w:pPr>
        <w:tabs>
          <w:tab w:val="left" w:pos="1050"/>
        </w:tabs>
        <w:ind w:left="1050" w:hanging="630"/>
      </w:pPr>
      <w:rPr>
        <w:rFonts w:hint="default"/>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18F89ED3"/>
    <w:multiLevelType w:val="singleLevel"/>
    <w:tmpl w:val="18F89ED3"/>
    <w:lvl w:ilvl="0" w:tentative="0">
      <w:start w:val="1"/>
      <w:numFmt w:val="decimal"/>
      <w:lvlText w:val="3.1.%1"/>
      <w:lvlJc w:val="left"/>
      <w:pPr>
        <w:tabs>
          <w:tab w:val="left" w:pos="0"/>
        </w:tabs>
        <w:ind w:left="113" w:hanging="113"/>
      </w:pPr>
      <w:rPr>
        <w:rFonts w:hint="default" w:ascii="Times New Roman" w:hAnsi="Times New Roman" w:eastAsia="宋体" w:cs="Times New Roman"/>
      </w:rPr>
    </w:lvl>
  </w:abstractNum>
  <w:abstractNum w:abstractNumId="6">
    <w:nsid w:val="24714A5A"/>
    <w:multiLevelType w:val="multilevel"/>
    <w:tmpl w:val="24714A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F1645C"/>
    <w:multiLevelType w:val="multilevel"/>
    <w:tmpl w:val="33F1645C"/>
    <w:lvl w:ilvl="0" w:tentative="0">
      <w:start w:val="1"/>
      <w:numFmt w:val="decimal"/>
      <w:lvlText w:val="%1."/>
      <w:lvlJc w:val="left"/>
      <w:pPr>
        <w:ind w:left="360" w:hanging="360"/>
      </w:pPr>
      <w:rPr>
        <w:rFonts w:hint="default"/>
      </w:rPr>
    </w:lvl>
    <w:lvl w:ilvl="1" w:tentative="0">
      <w:start w:val="1"/>
      <w:numFmt w:val="decimal"/>
      <w:isLgl/>
      <w:lvlText w:val="%1.%2"/>
      <w:lvlJc w:val="left"/>
      <w:pPr>
        <w:ind w:left="375" w:hanging="37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8">
    <w:nsid w:val="3FAF5456"/>
    <w:multiLevelType w:val="multilevel"/>
    <w:tmpl w:val="3FAF5456"/>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9">
    <w:nsid w:val="534B3D6C"/>
    <w:multiLevelType w:val="multilevel"/>
    <w:tmpl w:val="534B3D6C"/>
    <w:lvl w:ilvl="0" w:tentative="0">
      <w:start w:val="1"/>
      <w:numFmt w:val="decimal"/>
      <w:lvlText w:val="%1."/>
      <w:lvlJc w:val="left"/>
      <w:pPr>
        <w:ind w:left="420" w:hanging="420"/>
      </w:pPr>
      <w:rPr>
        <w:rFonts w:hint="default" w:ascii="Times New Roman" w:hAnsi="Times New Roman" w:cs="Times New Roman"/>
        <w:b w:val="0"/>
        <w:bCs w:val="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0">
    <w:nsid w:val="5CA44D87"/>
    <w:multiLevelType w:val="multilevel"/>
    <w:tmpl w:val="5CA44D87"/>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ascii="宋体" w:hAnsi="宋体" w:eastAsia="宋体"/>
        <w:b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5D465795"/>
    <w:multiLevelType w:val="multilevel"/>
    <w:tmpl w:val="5D465795"/>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2）"/>
      <w:lvlJc w:val="left"/>
      <w:pPr>
        <w:ind w:left="420" w:hanging="420"/>
      </w:pPr>
      <w:rPr>
        <w:rFonts w:hint="default" w:ascii="宋体" w:hAnsi="宋体" w:eastAsia="宋体" w:cs="宋体"/>
        <w:b/>
      </w:rPr>
    </w:lvl>
    <w:lvl w:ilvl="2" w:tentative="0">
      <w:start w:val="1"/>
      <w:numFmt w:val="decimalEnclosedCircleChinese"/>
      <w:lvlText w:val="%3"/>
      <w:lvlJc w:val="left"/>
      <w:pPr>
        <w:ind w:left="431" w:hanging="431"/>
      </w:pPr>
      <w:rPr>
        <w:rFonts w:hint="eastAsia" w:ascii="宋体" w:hAnsi="宋体" w:eastAsia="宋体" w:cs="宋体"/>
      </w:rPr>
    </w:lvl>
    <w:lvl w:ilvl="3" w:tentative="0">
      <w:start w:val="1"/>
      <w:numFmt w:val="none"/>
      <w:lvlText w:val=""/>
      <w:lvlJc w:val="left"/>
      <w:pPr>
        <w:ind w:left="850" w:hanging="850"/>
      </w:pPr>
      <w:rPr>
        <w:rFonts w:hint="default" w:ascii="宋体" w:hAnsi="宋体" w:eastAsia="宋体" w:cs="宋体"/>
      </w:rPr>
    </w:lvl>
    <w:lvl w:ilvl="4" w:tentative="0">
      <w:start w:val="1"/>
      <w:numFmt w:val="none"/>
      <w:lvlText w:val=""/>
      <w:lvlJc w:val="left"/>
      <w:pPr>
        <w:ind w:left="991" w:hanging="991"/>
      </w:pPr>
      <w:rPr>
        <w:rFonts w:hint="default" w:ascii="宋体" w:hAnsi="宋体" w:eastAsia="宋体" w:cs="宋体"/>
      </w:rPr>
    </w:lvl>
    <w:lvl w:ilvl="5" w:tentative="0">
      <w:start w:val="1"/>
      <w:numFmt w:val="none"/>
      <w:lvlText w:val=""/>
      <w:lvlJc w:val="left"/>
      <w:pPr>
        <w:ind w:left="1134" w:hanging="1134"/>
      </w:pPr>
      <w:rPr>
        <w:rFonts w:hint="default" w:ascii="宋体" w:hAnsi="宋体" w:eastAsia="宋体" w:cs="宋体"/>
      </w:rPr>
    </w:lvl>
    <w:lvl w:ilvl="6" w:tentative="0">
      <w:start w:val="1"/>
      <w:numFmt w:val="none"/>
      <w:lvlText w:val=""/>
      <w:lvlJc w:val="left"/>
      <w:pPr>
        <w:ind w:left="1275" w:hanging="1275"/>
      </w:pPr>
      <w:rPr>
        <w:rFonts w:hint="default" w:ascii="宋体" w:hAnsi="宋体" w:eastAsia="宋体" w:cs="宋体"/>
      </w:rPr>
    </w:lvl>
    <w:lvl w:ilvl="7" w:tentative="0">
      <w:start w:val="1"/>
      <w:numFmt w:val="none"/>
      <w:lvlText w:val=""/>
      <w:lvlJc w:val="left"/>
      <w:pPr>
        <w:ind w:left="1418" w:hanging="1418"/>
      </w:pPr>
      <w:rPr>
        <w:rFonts w:hint="default" w:ascii="宋体" w:hAnsi="宋体" w:eastAsia="宋体" w:cs="宋体"/>
      </w:rPr>
    </w:lvl>
    <w:lvl w:ilvl="8" w:tentative="0">
      <w:start w:val="1"/>
      <w:numFmt w:val="none"/>
      <w:lvlText w:val=""/>
      <w:lvlJc w:val="left"/>
      <w:pPr>
        <w:ind w:left="1558" w:hanging="1558"/>
      </w:pPr>
      <w:rPr>
        <w:rFonts w:hint="default" w:ascii="宋体" w:hAnsi="宋体" w:eastAsia="宋体" w:cs="宋体"/>
      </w:rPr>
    </w:lvl>
  </w:abstractNum>
  <w:abstractNum w:abstractNumId="12">
    <w:nsid w:val="5D465977"/>
    <w:multiLevelType w:val="multilevel"/>
    <w:tmpl w:val="5D465977"/>
    <w:lvl w:ilvl="0" w:tentative="0">
      <w:start w:val="1"/>
      <w:numFmt w:val="decimal"/>
      <w:lvlText w:val="%1."/>
      <w:lvlJc w:val="left"/>
      <w:pPr>
        <w:ind w:left="425" w:hanging="425"/>
      </w:pPr>
      <w:rPr>
        <w:rFonts w:hint="default" w:ascii="宋体" w:hAnsi="宋体" w:eastAsia="宋体" w:cs="宋体"/>
      </w:rPr>
    </w:lvl>
    <w:lvl w:ilvl="1" w:tentative="0">
      <w:start w:val="1"/>
      <w:numFmt w:val="decimal"/>
      <w:lvlText w:val="%2）"/>
      <w:lvlJc w:val="left"/>
      <w:pPr>
        <w:ind w:left="420" w:hanging="420"/>
      </w:pPr>
      <w:rPr>
        <w:rFonts w:hint="default" w:ascii="宋体" w:hAnsi="宋体" w:eastAsia="宋体" w:cs="宋体"/>
        <w:b/>
      </w:rPr>
    </w:lvl>
    <w:lvl w:ilvl="2" w:tentative="0">
      <w:start w:val="1"/>
      <w:numFmt w:val="decimalEnclosedCircleChinese"/>
      <w:lvlText w:val="%3"/>
      <w:lvlJc w:val="left"/>
      <w:pPr>
        <w:ind w:left="431" w:hanging="431"/>
      </w:pPr>
      <w:rPr>
        <w:rFonts w:hint="eastAsia" w:ascii="宋体" w:hAnsi="宋体" w:eastAsia="宋体" w:cs="宋体"/>
      </w:rPr>
    </w:lvl>
    <w:lvl w:ilvl="3" w:tentative="0">
      <w:start w:val="1"/>
      <w:numFmt w:val="none"/>
      <w:lvlText w:val=""/>
      <w:lvlJc w:val="left"/>
      <w:pPr>
        <w:ind w:left="850" w:hanging="850"/>
      </w:pPr>
      <w:rPr>
        <w:rFonts w:hint="default" w:ascii="宋体" w:hAnsi="宋体" w:eastAsia="宋体" w:cs="宋体"/>
      </w:rPr>
    </w:lvl>
    <w:lvl w:ilvl="4" w:tentative="0">
      <w:start w:val="1"/>
      <w:numFmt w:val="none"/>
      <w:lvlText w:val=""/>
      <w:lvlJc w:val="left"/>
      <w:pPr>
        <w:ind w:left="991" w:hanging="991"/>
      </w:pPr>
      <w:rPr>
        <w:rFonts w:hint="default" w:ascii="宋体" w:hAnsi="宋体" w:eastAsia="宋体" w:cs="宋体"/>
      </w:rPr>
    </w:lvl>
    <w:lvl w:ilvl="5" w:tentative="0">
      <w:start w:val="1"/>
      <w:numFmt w:val="none"/>
      <w:lvlText w:val=""/>
      <w:lvlJc w:val="left"/>
      <w:pPr>
        <w:ind w:left="1134" w:hanging="1134"/>
      </w:pPr>
      <w:rPr>
        <w:rFonts w:hint="default" w:ascii="宋体" w:hAnsi="宋体" w:eastAsia="宋体" w:cs="宋体"/>
      </w:rPr>
    </w:lvl>
    <w:lvl w:ilvl="6" w:tentative="0">
      <w:start w:val="1"/>
      <w:numFmt w:val="none"/>
      <w:lvlText w:val=""/>
      <w:lvlJc w:val="left"/>
      <w:pPr>
        <w:ind w:left="1275" w:hanging="1275"/>
      </w:pPr>
      <w:rPr>
        <w:rFonts w:hint="default" w:ascii="宋体" w:hAnsi="宋体" w:eastAsia="宋体" w:cs="宋体"/>
      </w:rPr>
    </w:lvl>
    <w:lvl w:ilvl="7" w:tentative="0">
      <w:start w:val="1"/>
      <w:numFmt w:val="none"/>
      <w:lvlText w:val=""/>
      <w:lvlJc w:val="left"/>
      <w:pPr>
        <w:ind w:left="1418" w:hanging="1418"/>
      </w:pPr>
      <w:rPr>
        <w:rFonts w:hint="default" w:ascii="宋体" w:hAnsi="宋体" w:eastAsia="宋体" w:cs="宋体"/>
      </w:rPr>
    </w:lvl>
    <w:lvl w:ilvl="8" w:tentative="0">
      <w:start w:val="1"/>
      <w:numFmt w:val="none"/>
      <w:lvlText w:val=""/>
      <w:lvlJc w:val="left"/>
      <w:pPr>
        <w:ind w:left="1558" w:hanging="1558"/>
      </w:pPr>
      <w:rPr>
        <w:rFonts w:hint="default" w:ascii="宋体" w:hAnsi="宋体" w:eastAsia="宋体" w:cs="宋体"/>
      </w:rPr>
    </w:lvl>
  </w:abstractNum>
  <w:abstractNum w:abstractNumId="13">
    <w:nsid w:val="5D465DBE"/>
    <w:multiLevelType w:val="singleLevel"/>
    <w:tmpl w:val="5D465DBE"/>
    <w:lvl w:ilvl="0" w:tentative="0">
      <w:start w:val="1"/>
      <w:numFmt w:val="chineseCounting"/>
      <w:suff w:val="nothing"/>
      <w:lvlText w:val="%1、"/>
      <w:lvlJc w:val="left"/>
      <w:pPr>
        <w:ind w:left="0" w:firstLine="0"/>
      </w:pPr>
      <w:rPr>
        <w:rFonts w:hint="eastAsia"/>
      </w:rPr>
    </w:lvl>
  </w:abstractNum>
  <w:abstractNum w:abstractNumId="14">
    <w:nsid w:val="5D465ED8"/>
    <w:multiLevelType w:val="multilevel"/>
    <w:tmpl w:val="5D465ED8"/>
    <w:lvl w:ilvl="0" w:tentative="0">
      <w:start w:val="1"/>
      <w:numFmt w:val="decimal"/>
      <w:lvlText w:val="%1."/>
      <w:lvlJc w:val="left"/>
      <w:pPr>
        <w:ind w:left="425" w:hanging="425"/>
      </w:pPr>
      <w:rPr>
        <w:rFonts w:hint="default" w:ascii="宋体" w:hAnsi="宋体" w:eastAsia="宋体" w:cs="宋体"/>
        <w:b/>
      </w:rPr>
    </w:lvl>
    <w:lvl w:ilvl="1" w:tentative="0">
      <w:start w:val="1"/>
      <w:numFmt w:val="decimal"/>
      <w:lvlText w:val="%2）"/>
      <w:lvlJc w:val="left"/>
      <w:pPr>
        <w:ind w:left="420" w:hanging="420"/>
      </w:pPr>
      <w:rPr>
        <w:rFonts w:hint="default" w:ascii="宋体" w:hAnsi="宋体" w:eastAsia="宋体" w:cs="宋体"/>
        <w:b/>
      </w:rPr>
    </w:lvl>
    <w:lvl w:ilvl="2" w:tentative="0">
      <w:start w:val="1"/>
      <w:numFmt w:val="decimalEnclosedCircleChinese"/>
      <w:lvlText w:val="%3"/>
      <w:lvlJc w:val="left"/>
      <w:pPr>
        <w:ind w:left="431" w:hanging="431"/>
      </w:pPr>
      <w:rPr>
        <w:rFonts w:hint="eastAsia" w:ascii="宋体" w:hAnsi="宋体" w:eastAsia="宋体" w:cs="宋体"/>
      </w:rPr>
    </w:lvl>
    <w:lvl w:ilvl="3" w:tentative="0">
      <w:start w:val="1"/>
      <w:numFmt w:val="none"/>
      <w:lvlText w:val=""/>
      <w:lvlJc w:val="left"/>
      <w:pPr>
        <w:ind w:left="850" w:hanging="850"/>
      </w:pPr>
      <w:rPr>
        <w:rFonts w:hint="default" w:ascii="宋体" w:hAnsi="宋体" w:eastAsia="宋体" w:cs="宋体"/>
      </w:rPr>
    </w:lvl>
    <w:lvl w:ilvl="4" w:tentative="0">
      <w:start w:val="1"/>
      <w:numFmt w:val="none"/>
      <w:lvlText w:val=""/>
      <w:lvlJc w:val="left"/>
      <w:pPr>
        <w:ind w:left="991" w:hanging="991"/>
      </w:pPr>
      <w:rPr>
        <w:rFonts w:hint="default" w:ascii="宋体" w:hAnsi="宋体" w:eastAsia="宋体" w:cs="宋体"/>
      </w:rPr>
    </w:lvl>
    <w:lvl w:ilvl="5" w:tentative="0">
      <w:start w:val="1"/>
      <w:numFmt w:val="none"/>
      <w:lvlText w:val=""/>
      <w:lvlJc w:val="left"/>
      <w:pPr>
        <w:ind w:left="1134" w:hanging="1134"/>
      </w:pPr>
      <w:rPr>
        <w:rFonts w:hint="default" w:ascii="宋体" w:hAnsi="宋体" w:eastAsia="宋体" w:cs="宋体"/>
      </w:rPr>
    </w:lvl>
    <w:lvl w:ilvl="6" w:tentative="0">
      <w:start w:val="1"/>
      <w:numFmt w:val="none"/>
      <w:lvlText w:val=""/>
      <w:lvlJc w:val="left"/>
      <w:pPr>
        <w:ind w:left="1275" w:hanging="1275"/>
      </w:pPr>
      <w:rPr>
        <w:rFonts w:hint="default" w:ascii="宋体" w:hAnsi="宋体" w:eastAsia="宋体" w:cs="宋体"/>
      </w:rPr>
    </w:lvl>
    <w:lvl w:ilvl="7" w:tentative="0">
      <w:start w:val="1"/>
      <w:numFmt w:val="none"/>
      <w:lvlText w:val=""/>
      <w:lvlJc w:val="left"/>
      <w:pPr>
        <w:ind w:left="1418" w:hanging="1418"/>
      </w:pPr>
      <w:rPr>
        <w:rFonts w:hint="default" w:ascii="宋体" w:hAnsi="宋体" w:eastAsia="宋体" w:cs="宋体"/>
      </w:rPr>
    </w:lvl>
    <w:lvl w:ilvl="8" w:tentative="0">
      <w:start w:val="1"/>
      <w:numFmt w:val="none"/>
      <w:lvlText w:val=""/>
      <w:lvlJc w:val="left"/>
      <w:pPr>
        <w:ind w:left="1558" w:hanging="1558"/>
      </w:pPr>
      <w:rPr>
        <w:rFonts w:hint="default" w:ascii="宋体" w:hAnsi="宋体" w:eastAsia="宋体" w:cs="宋体"/>
      </w:rPr>
    </w:lvl>
  </w:abstractNum>
  <w:abstractNum w:abstractNumId="15">
    <w:nsid w:val="5D466061"/>
    <w:multiLevelType w:val="multilevel"/>
    <w:tmpl w:val="5D466061"/>
    <w:lvl w:ilvl="0" w:tentative="0">
      <w:start w:val="1"/>
      <w:numFmt w:val="decimal"/>
      <w:lvlText w:val="%1."/>
      <w:lvlJc w:val="left"/>
      <w:pPr>
        <w:ind w:left="425" w:hanging="425"/>
      </w:pPr>
      <w:rPr>
        <w:rFonts w:hint="default" w:ascii="宋体" w:hAnsi="宋体" w:eastAsia="宋体" w:cs="宋体"/>
        <w:b/>
      </w:rPr>
    </w:lvl>
    <w:lvl w:ilvl="1" w:tentative="0">
      <w:start w:val="1"/>
      <w:numFmt w:val="decimal"/>
      <w:lvlText w:val="%2）"/>
      <w:lvlJc w:val="left"/>
      <w:pPr>
        <w:ind w:left="420" w:hanging="420"/>
      </w:pPr>
      <w:rPr>
        <w:rFonts w:hint="default" w:ascii="宋体" w:hAnsi="宋体" w:eastAsia="宋体" w:cs="宋体"/>
        <w:b/>
      </w:rPr>
    </w:lvl>
    <w:lvl w:ilvl="2" w:tentative="0">
      <w:start w:val="1"/>
      <w:numFmt w:val="decimalEnclosedCircleChinese"/>
      <w:lvlText w:val="%3"/>
      <w:lvlJc w:val="left"/>
      <w:pPr>
        <w:ind w:left="431" w:hanging="431"/>
      </w:pPr>
      <w:rPr>
        <w:rFonts w:hint="eastAsia" w:ascii="宋体" w:hAnsi="宋体" w:eastAsia="宋体" w:cs="宋体"/>
      </w:rPr>
    </w:lvl>
    <w:lvl w:ilvl="3" w:tentative="0">
      <w:start w:val="1"/>
      <w:numFmt w:val="none"/>
      <w:lvlText w:val=""/>
      <w:lvlJc w:val="left"/>
      <w:pPr>
        <w:ind w:left="850" w:hanging="850"/>
      </w:pPr>
      <w:rPr>
        <w:rFonts w:hint="default" w:ascii="宋体" w:hAnsi="宋体" w:eastAsia="宋体" w:cs="宋体"/>
      </w:rPr>
    </w:lvl>
    <w:lvl w:ilvl="4" w:tentative="0">
      <w:start w:val="1"/>
      <w:numFmt w:val="none"/>
      <w:lvlText w:val=""/>
      <w:lvlJc w:val="left"/>
      <w:pPr>
        <w:ind w:left="991" w:hanging="991"/>
      </w:pPr>
      <w:rPr>
        <w:rFonts w:hint="default" w:ascii="宋体" w:hAnsi="宋体" w:eastAsia="宋体" w:cs="宋体"/>
      </w:rPr>
    </w:lvl>
    <w:lvl w:ilvl="5" w:tentative="0">
      <w:start w:val="1"/>
      <w:numFmt w:val="none"/>
      <w:lvlText w:val=""/>
      <w:lvlJc w:val="left"/>
      <w:pPr>
        <w:ind w:left="1134" w:hanging="1134"/>
      </w:pPr>
      <w:rPr>
        <w:rFonts w:hint="default" w:ascii="宋体" w:hAnsi="宋体" w:eastAsia="宋体" w:cs="宋体"/>
      </w:rPr>
    </w:lvl>
    <w:lvl w:ilvl="6" w:tentative="0">
      <w:start w:val="1"/>
      <w:numFmt w:val="none"/>
      <w:lvlText w:val=""/>
      <w:lvlJc w:val="left"/>
      <w:pPr>
        <w:ind w:left="1275" w:hanging="1275"/>
      </w:pPr>
      <w:rPr>
        <w:rFonts w:hint="default" w:ascii="宋体" w:hAnsi="宋体" w:eastAsia="宋体" w:cs="宋体"/>
      </w:rPr>
    </w:lvl>
    <w:lvl w:ilvl="7" w:tentative="0">
      <w:start w:val="1"/>
      <w:numFmt w:val="none"/>
      <w:lvlText w:val=""/>
      <w:lvlJc w:val="left"/>
      <w:pPr>
        <w:ind w:left="1418" w:hanging="1418"/>
      </w:pPr>
      <w:rPr>
        <w:rFonts w:hint="default" w:ascii="宋体" w:hAnsi="宋体" w:eastAsia="宋体" w:cs="宋体"/>
      </w:rPr>
    </w:lvl>
    <w:lvl w:ilvl="8" w:tentative="0">
      <w:start w:val="1"/>
      <w:numFmt w:val="none"/>
      <w:lvlText w:val=""/>
      <w:lvlJc w:val="left"/>
      <w:pPr>
        <w:ind w:left="1558" w:hanging="1558"/>
      </w:pPr>
      <w:rPr>
        <w:rFonts w:hint="default" w:ascii="宋体" w:hAnsi="宋体" w:eastAsia="宋体" w:cs="宋体"/>
      </w:rPr>
    </w:lvl>
  </w:abstractNum>
  <w:abstractNum w:abstractNumId="16">
    <w:nsid w:val="5D46658A"/>
    <w:multiLevelType w:val="multilevel"/>
    <w:tmpl w:val="5D46658A"/>
    <w:lvl w:ilvl="0" w:tentative="0">
      <w:start w:val="1"/>
      <w:numFmt w:val="chineseCounting"/>
      <w:suff w:val="nothing"/>
      <w:lvlText w:val="%1、"/>
      <w:lvlJc w:val="left"/>
      <w:pPr>
        <w:tabs>
          <w:tab w:val="left" w:pos="0"/>
        </w:tabs>
        <w:ind w:left="0" w:firstLine="0"/>
      </w:pPr>
      <w:rPr>
        <w:rFonts w:hint="eastAsia" w:ascii="宋体" w:hAnsi="宋体" w:eastAsia="宋体" w:cs="宋体"/>
        <w:b/>
        <w:sz w:val="21"/>
      </w:rPr>
    </w:lvl>
    <w:lvl w:ilvl="1" w:tentative="0">
      <w:start w:val="1"/>
      <w:numFmt w:val="chineseCounting"/>
      <w:pStyle w:val="5"/>
      <w:suff w:val="nothing"/>
      <w:lvlText w:val="（%2）"/>
      <w:lvlJc w:val="left"/>
      <w:pPr>
        <w:ind w:left="0" w:firstLine="0"/>
      </w:pPr>
      <w:rPr>
        <w:rFonts w:hint="eastAsia" w:ascii="宋体" w:hAnsi="宋体" w:eastAsia="宋体" w:cs="宋体"/>
        <w:b/>
        <w:sz w:val="21"/>
      </w:rPr>
    </w:lvl>
    <w:lvl w:ilvl="2" w:tentative="0">
      <w:start w:val="1"/>
      <w:numFmt w:val="decimal"/>
      <w:suff w:val="nothing"/>
      <w:lvlText w:val="%3．"/>
      <w:lvlJc w:val="left"/>
      <w:pPr>
        <w:ind w:left="0" w:firstLine="400"/>
      </w:pPr>
      <w:rPr>
        <w:rFonts w:hint="eastAsia" w:ascii="宋体" w:hAnsi="宋体" w:eastAsia="宋体" w:cs="宋体"/>
        <w:b/>
        <w:sz w:val="21"/>
      </w:rPr>
    </w:lvl>
    <w:lvl w:ilvl="3" w:tentative="0">
      <w:start w:val="1"/>
      <w:numFmt w:val="decimal"/>
      <w:suff w:val="nothing"/>
      <w:lvlText w:val="%4）"/>
      <w:lvlJc w:val="left"/>
      <w:pPr>
        <w:ind w:left="0" w:firstLine="402"/>
      </w:pPr>
      <w:rPr>
        <w:rFonts w:hint="eastAsia" w:ascii="宋体" w:hAnsi="宋体" w:eastAsia="宋体" w:cs="宋体"/>
        <w:b/>
        <w:sz w:val="21"/>
      </w:rPr>
    </w:lvl>
    <w:lvl w:ilvl="4" w:tentative="0">
      <w:start w:val="1"/>
      <w:numFmt w:val="decimalEnclosedCircleChinese"/>
      <w:suff w:val="nothing"/>
      <w:lvlText w:val="%5"/>
      <w:lvlJc w:val="left"/>
      <w:pPr>
        <w:ind w:left="0" w:firstLine="402"/>
      </w:pPr>
      <w:rPr>
        <w:rFonts w:hint="eastAsia" w:ascii="宋体" w:hAnsi="宋体" w:eastAsia="宋体" w:cs="宋体"/>
        <w:b/>
        <w:sz w:val="21"/>
      </w:rPr>
    </w:lvl>
    <w:lvl w:ilvl="5" w:tentative="0">
      <w:start w:val="1"/>
      <w:numFmt w:val="none"/>
      <w:suff w:val="nothing"/>
      <w:lvlText w:val=""/>
      <w:lvlJc w:val="left"/>
      <w:pPr>
        <w:ind w:left="0" w:firstLine="402"/>
      </w:pPr>
      <w:rPr>
        <w:rFonts w:hint="eastAsia" w:ascii="宋体" w:hAnsi="宋体" w:eastAsia="宋体" w:cs="宋体"/>
      </w:rPr>
    </w:lvl>
    <w:lvl w:ilvl="6" w:tentative="0">
      <w:start w:val="1"/>
      <w:numFmt w:val="none"/>
      <w:suff w:val="nothing"/>
      <w:lvlText w:val=""/>
      <w:lvlJc w:val="left"/>
      <w:pPr>
        <w:ind w:left="0" w:firstLine="402"/>
      </w:pPr>
      <w:rPr>
        <w:rFonts w:hint="eastAsia" w:ascii="宋体" w:hAnsi="宋体" w:eastAsia="宋体" w:cs="宋体"/>
      </w:rPr>
    </w:lvl>
    <w:lvl w:ilvl="7" w:tentative="0">
      <w:start w:val="1"/>
      <w:numFmt w:val="none"/>
      <w:suff w:val="nothing"/>
      <w:lvlText w:val=""/>
      <w:lvlJc w:val="left"/>
      <w:pPr>
        <w:ind w:left="0" w:firstLine="402"/>
      </w:pPr>
      <w:rPr>
        <w:rFonts w:hint="eastAsia" w:ascii="宋体" w:hAnsi="宋体" w:eastAsia="宋体" w:cs="宋体"/>
      </w:rPr>
    </w:lvl>
    <w:lvl w:ilvl="8" w:tentative="0">
      <w:start w:val="1"/>
      <w:numFmt w:val="none"/>
      <w:suff w:val="nothing"/>
      <w:lvlText w:val=""/>
      <w:lvlJc w:val="left"/>
      <w:pPr>
        <w:ind w:left="0" w:firstLine="402"/>
      </w:pPr>
      <w:rPr>
        <w:rFonts w:hint="eastAsia" w:ascii="宋体" w:hAnsi="宋体" w:eastAsia="宋体" w:cs="宋体"/>
      </w:rPr>
    </w:lvl>
  </w:abstractNum>
  <w:abstractNum w:abstractNumId="17">
    <w:nsid w:val="5D466686"/>
    <w:multiLevelType w:val="multilevel"/>
    <w:tmpl w:val="5D466686"/>
    <w:lvl w:ilvl="0" w:tentative="0">
      <w:start w:val="1"/>
      <w:numFmt w:val="decimal"/>
      <w:lvlText w:val="%1."/>
      <w:lvlJc w:val="left"/>
      <w:pPr>
        <w:ind w:left="425" w:hanging="425"/>
      </w:pPr>
      <w:rPr>
        <w:rFonts w:hint="default" w:ascii="宋体" w:hAnsi="宋体" w:eastAsia="宋体" w:cs="宋体"/>
        <w:b/>
      </w:rPr>
    </w:lvl>
    <w:lvl w:ilvl="1" w:tentative="0">
      <w:start w:val="1"/>
      <w:numFmt w:val="decimal"/>
      <w:lvlText w:val="%2）"/>
      <w:lvlJc w:val="left"/>
      <w:pPr>
        <w:ind w:left="283" w:hanging="283"/>
      </w:pPr>
      <w:rPr>
        <w:rFonts w:hint="default" w:ascii="宋体" w:hAnsi="宋体" w:eastAsia="宋体" w:cs="宋体"/>
      </w:rPr>
    </w:lvl>
    <w:lvl w:ilvl="2" w:tentative="0">
      <w:start w:val="1"/>
      <w:numFmt w:val="decimalEnclosedCircleChinese"/>
      <w:lvlText w:val="%3"/>
      <w:lvlJc w:val="left"/>
      <w:pPr>
        <w:ind w:left="431" w:hanging="431"/>
      </w:pPr>
      <w:rPr>
        <w:rFonts w:hint="eastAsia" w:ascii="宋体" w:hAnsi="宋体" w:eastAsia="宋体" w:cs="宋体"/>
      </w:rPr>
    </w:lvl>
    <w:lvl w:ilvl="3" w:tentative="0">
      <w:start w:val="1"/>
      <w:numFmt w:val="none"/>
      <w:lvlText w:val=""/>
      <w:lvlJc w:val="left"/>
      <w:pPr>
        <w:ind w:left="850" w:hanging="850"/>
      </w:pPr>
      <w:rPr>
        <w:rFonts w:hint="default" w:ascii="宋体" w:hAnsi="宋体" w:eastAsia="宋体" w:cs="宋体"/>
      </w:rPr>
    </w:lvl>
    <w:lvl w:ilvl="4" w:tentative="0">
      <w:start w:val="1"/>
      <w:numFmt w:val="none"/>
      <w:lvlText w:val=""/>
      <w:lvlJc w:val="left"/>
      <w:pPr>
        <w:ind w:left="991" w:hanging="991"/>
      </w:pPr>
      <w:rPr>
        <w:rFonts w:hint="default" w:ascii="宋体" w:hAnsi="宋体" w:eastAsia="宋体" w:cs="宋体"/>
      </w:rPr>
    </w:lvl>
    <w:lvl w:ilvl="5" w:tentative="0">
      <w:start w:val="1"/>
      <w:numFmt w:val="none"/>
      <w:lvlText w:val=""/>
      <w:lvlJc w:val="left"/>
      <w:pPr>
        <w:ind w:left="1134" w:hanging="1134"/>
      </w:pPr>
      <w:rPr>
        <w:rFonts w:hint="default" w:ascii="宋体" w:hAnsi="宋体" w:eastAsia="宋体" w:cs="宋体"/>
      </w:rPr>
    </w:lvl>
    <w:lvl w:ilvl="6" w:tentative="0">
      <w:start w:val="1"/>
      <w:numFmt w:val="none"/>
      <w:lvlText w:val=""/>
      <w:lvlJc w:val="left"/>
      <w:pPr>
        <w:ind w:left="1275" w:hanging="1275"/>
      </w:pPr>
      <w:rPr>
        <w:rFonts w:hint="default" w:ascii="宋体" w:hAnsi="宋体" w:eastAsia="宋体" w:cs="宋体"/>
      </w:rPr>
    </w:lvl>
    <w:lvl w:ilvl="7" w:tentative="0">
      <w:start w:val="1"/>
      <w:numFmt w:val="none"/>
      <w:lvlText w:val=""/>
      <w:lvlJc w:val="left"/>
      <w:pPr>
        <w:ind w:left="1418" w:hanging="1418"/>
      </w:pPr>
      <w:rPr>
        <w:rFonts w:hint="default" w:ascii="宋体" w:hAnsi="宋体" w:eastAsia="宋体" w:cs="宋体"/>
      </w:rPr>
    </w:lvl>
    <w:lvl w:ilvl="8" w:tentative="0">
      <w:start w:val="1"/>
      <w:numFmt w:val="none"/>
      <w:lvlText w:val=""/>
      <w:lvlJc w:val="left"/>
      <w:pPr>
        <w:ind w:left="1558" w:hanging="1558"/>
      </w:pPr>
      <w:rPr>
        <w:rFonts w:hint="default" w:ascii="宋体" w:hAnsi="宋体" w:eastAsia="宋体" w:cs="宋体"/>
      </w:rPr>
    </w:lvl>
  </w:abstractNum>
  <w:abstractNum w:abstractNumId="18">
    <w:nsid w:val="5D468975"/>
    <w:multiLevelType w:val="multilevel"/>
    <w:tmpl w:val="5D468975"/>
    <w:lvl w:ilvl="0" w:tentative="0">
      <w:start w:val="1"/>
      <w:numFmt w:val="chineseCounting"/>
      <w:suff w:val="nothing"/>
      <w:lvlText w:val="%1、"/>
      <w:lvlJc w:val="left"/>
      <w:pPr>
        <w:tabs>
          <w:tab w:val="left" w:pos="0"/>
        </w:tabs>
        <w:ind w:left="0" w:firstLine="0"/>
      </w:pPr>
      <w:rPr>
        <w:rFonts w:hint="eastAsia" w:ascii="宋体" w:hAnsi="宋体" w:eastAsia="宋体" w:cs="宋体"/>
        <w:b/>
        <w:sz w:val="21"/>
      </w:rPr>
    </w:lvl>
    <w:lvl w:ilvl="1" w:tentative="0">
      <w:start w:val="1"/>
      <w:numFmt w:val="chineseCounting"/>
      <w:lvlText w:val="（%2）"/>
      <w:lvlJc w:val="left"/>
      <w:pPr>
        <w:tabs>
          <w:tab w:val="left" w:pos="420"/>
        </w:tabs>
        <w:ind w:left="0" w:firstLine="0"/>
      </w:pPr>
      <w:rPr>
        <w:rFonts w:hint="eastAsia" w:ascii="宋体" w:hAnsi="宋体" w:eastAsia="宋体" w:cs="宋体"/>
        <w:b/>
        <w:sz w:val="21"/>
      </w:rPr>
    </w:lvl>
    <w:lvl w:ilvl="2" w:tentative="0">
      <w:start w:val="1"/>
      <w:numFmt w:val="decimal"/>
      <w:lvlText w:val="%3．"/>
      <w:lvlJc w:val="left"/>
      <w:pPr>
        <w:tabs>
          <w:tab w:val="left" w:pos="397"/>
        </w:tabs>
        <w:ind w:left="397" w:firstLine="0"/>
      </w:pPr>
      <w:rPr>
        <w:rFonts w:hint="eastAsia" w:ascii="宋体" w:hAnsi="宋体" w:eastAsia="宋体" w:cs="宋体"/>
        <w:b/>
        <w:sz w:val="21"/>
      </w:rPr>
    </w:lvl>
    <w:lvl w:ilvl="3" w:tentative="0">
      <w:start w:val="1"/>
      <w:numFmt w:val="decimal"/>
      <w:lvlText w:val="%4）"/>
      <w:lvlJc w:val="left"/>
      <w:pPr>
        <w:tabs>
          <w:tab w:val="left" w:pos="420"/>
        </w:tabs>
        <w:ind w:left="0" w:firstLine="397"/>
      </w:pPr>
      <w:rPr>
        <w:rFonts w:hint="eastAsia" w:ascii="宋体" w:hAnsi="宋体" w:eastAsia="宋体" w:cs="宋体"/>
        <w:b/>
        <w:sz w:val="21"/>
      </w:rPr>
    </w:lvl>
    <w:lvl w:ilvl="4" w:tentative="0">
      <w:start w:val="1"/>
      <w:numFmt w:val="decimalEnclosedCircleChinese"/>
      <w:lvlText w:val="%5"/>
      <w:lvlJc w:val="left"/>
      <w:pPr>
        <w:tabs>
          <w:tab w:val="left" w:pos="420"/>
        </w:tabs>
        <w:ind w:left="0" w:firstLine="402"/>
      </w:pPr>
      <w:rPr>
        <w:rFonts w:hint="eastAsia" w:ascii="宋体" w:hAnsi="宋体" w:eastAsia="宋体" w:cs="宋体"/>
        <w:b/>
        <w:sz w:val="21"/>
      </w:rPr>
    </w:lvl>
    <w:lvl w:ilvl="5" w:tentative="0">
      <w:start w:val="1"/>
      <w:numFmt w:val="none"/>
      <w:suff w:val="nothing"/>
      <w:lvlText w:val=""/>
      <w:lvlJc w:val="left"/>
      <w:pPr>
        <w:ind w:left="0" w:firstLine="402"/>
      </w:pPr>
      <w:rPr>
        <w:rFonts w:hint="eastAsia" w:ascii="宋体" w:hAnsi="宋体" w:eastAsia="宋体" w:cs="宋体"/>
      </w:rPr>
    </w:lvl>
    <w:lvl w:ilvl="6" w:tentative="0">
      <w:start w:val="1"/>
      <w:numFmt w:val="none"/>
      <w:suff w:val="nothing"/>
      <w:lvlText w:val=""/>
      <w:lvlJc w:val="left"/>
      <w:pPr>
        <w:ind w:left="0" w:firstLine="402"/>
      </w:pPr>
      <w:rPr>
        <w:rFonts w:hint="eastAsia" w:ascii="宋体" w:hAnsi="宋体" w:eastAsia="宋体" w:cs="宋体"/>
      </w:rPr>
    </w:lvl>
    <w:lvl w:ilvl="7" w:tentative="0">
      <w:start w:val="1"/>
      <w:numFmt w:val="none"/>
      <w:suff w:val="nothing"/>
      <w:lvlText w:val=""/>
      <w:lvlJc w:val="left"/>
      <w:pPr>
        <w:ind w:left="0" w:firstLine="402"/>
      </w:pPr>
      <w:rPr>
        <w:rFonts w:hint="eastAsia" w:ascii="宋体" w:hAnsi="宋体" w:eastAsia="宋体" w:cs="宋体"/>
      </w:rPr>
    </w:lvl>
    <w:lvl w:ilvl="8" w:tentative="0">
      <w:start w:val="1"/>
      <w:numFmt w:val="none"/>
      <w:suff w:val="nothing"/>
      <w:lvlText w:val=""/>
      <w:lvlJc w:val="left"/>
      <w:pPr>
        <w:ind w:left="0" w:firstLine="402"/>
      </w:pPr>
      <w:rPr>
        <w:rFonts w:hint="eastAsia" w:ascii="宋体" w:hAnsi="宋体" w:eastAsia="宋体" w:cs="宋体"/>
      </w:rPr>
    </w:lvl>
  </w:abstractNum>
  <w:abstractNum w:abstractNumId="19">
    <w:nsid w:val="5D6B3A4F"/>
    <w:multiLevelType w:val="multilevel"/>
    <w:tmpl w:val="5D6B3A4F"/>
    <w:lvl w:ilvl="0" w:tentative="0">
      <w:start w:val="1"/>
      <w:numFmt w:val="decimal"/>
      <w:lvlText w:val="%1."/>
      <w:lvlJc w:val="left"/>
      <w:pPr>
        <w:ind w:left="425" w:hanging="425"/>
      </w:pPr>
      <w:rPr>
        <w:rFonts w:hint="default" w:ascii="宋体" w:hAnsi="宋体" w:eastAsia="宋体" w:cs="宋体"/>
        <w:b/>
      </w:rPr>
    </w:lvl>
    <w:lvl w:ilvl="1" w:tentative="0">
      <w:start w:val="1"/>
      <w:numFmt w:val="decimal"/>
      <w:lvlText w:val="%2）"/>
      <w:lvlJc w:val="left"/>
      <w:pPr>
        <w:ind w:left="420" w:hanging="420"/>
      </w:pPr>
      <w:rPr>
        <w:rFonts w:hint="default" w:ascii="宋体" w:hAnsi="宋体" w:eastAsia="宋体" w:cs="宋体"/>
        <w:b/>
      </w:rPr>
    </w:lvl>
    <w:lvl w:ilvl="2" w:tentative="0">
      <w:start w:val="1"/>
      <w:numFmt w:val="decimalEnclosedCircleChinese"/>
      <w:lvlText w:val="%3"/>
      <w:lvlJc w:val="left"/>
      <w:pPr>
        <w:ind w:left="431" w:hanging="431"/>
      </w:pPr>
      <w:rPr>
        <w:rFonts w:hint="eastAsia" w:ascii="宋体" w:hAnsi="宋体" w:eastAsia="宋体" w:cs="宋体"/>
      </w:rPr>
    </w:lvl>
    <w:lvl w:ilvl="3" w:tentative="0">
      <w:start w:val="1"/>
      <w:numFmt w:val="none"/>
      <w:lvlText w:val=""/>
      <w:lvlJc w:val="left"/>
      <w:pPr>
        <w:ind w:left="850" w:hanging="850"/>
      </w:pPr>
      <w:rPr>
        <w:rFonts w:hint="default" w:ascii="宋体" w:hAnsi="宋体" w:eastAsia="宋体" w:cs="宋体"/>
      </w:rPr>
    </w:lvl>
    <w:lvl w:ilvl="4" w:tentative="0">
      <w:start w:val="1"/>
      <w:numFmt w:val="none"/>
      <w:lvlText w:val=""/>
      <w:lvlJc w:val="left"/>
      <w:pPr>
        <w:ind w:left="991" w:hanging="991"/>
      </w:pPr>
      <w:rPr>
        <w:rFonts w:hint="default" w:ascii="宋体" w:hAnsi="宋体" w:eastAsia="宋体" w:cs="宋体"/>
      </w:rPr>
    </w:lvl>
    <w:lvl w:ilvl="5" w:tentative="0">
      <w:start w:val="1"/>
      <w:numFmt w:val="none"/>
      <w:lvlText w:val=""/>
      <w:lvlJc w:val="left"/>
      <w:pPr>
        <w:ind w:left="1134" w:hanging="1134"/>
      </w:pPr>
      <w:rPr>
        <w:rFonts w:hint="default" w:ascii="宋体" w:hAnsi="宋体" w:eastAsia="宋体" w:cs="宋体"/>
      </w:rPr>
    </w:lvl>
    <w:lvl w:ilvl="6" w:tentative="0">
      <w:start w:val="1"/>
      <w:numFmt w:val="none"/>
      <w:lvlText w:val=""/>
      <w:lvlJc w:val="left"/>
      <w:pPr>
        <w:ind w:left="1275" w:hanging="1275"/>
      </w:pPr>
      <w:rPr>
        <w:rFonts w:hint="default" w:ascii="宋体" w:hAnsi="宋体" w:eastAsia="宋体" w:cs="宋体"/>
      </w:rPr>
    </w:lvl>
    <w:lvl w:ilvl="7" w:tentative="0">
      <w:start w:val="1"/>
      <w:numFmt w:val="none"/>
      <w:lvlText w:val=""/>
      <w:lvlJc w:val="left"/>
      <w:pPr>
        <w:ind w:left="1418" w:hanging="1418"/>
      </w:pPr>
      <w:rPr>
        <w:rFonts w:hint="default" w:ascii="宋体" w:hAnsi="宋体" w:eastAsia="宋体" w:cs="宋体"/>
      </w:rPr>
    </w:lvl>
    <w:lvl w:ilvl="8" w:tentative="0">
      <w:start w:val="1"/>
      <w:numFmt w:val="none"/>
      <w:lvlText w:val=""/>
      <w:lvlJc w:val="left"/>
      <w:pPr>
        <w:ind w:left="1558" w:hanging="1558"/>
      </w:pPr>
      <w:rPr>
        <w:rFonts w:hint="default" w:ascii="宋体" w:hAnsi="宋体" w:eastAsia="宋体" w:cs="宋体"/>
      </w:rPr>
    </w:lvl>
  </w:abstractNum>
  <w:abstractNum w:abstractNumId="20">
    <w:nsid w:val="5DAB1987"/>
    <w:multiLevelType w:val="singleLevel"/>
    <w:tmpl w:val="5DAB1987"/>
    <w:lvl w:ilvl="0" w:tentative="0">
      <w:start w:val="1"/>
      <w:numFmt w:val="decimal"/>
      <w:suff w:val="space"/>
      <w:lvlText w:val="%1."/>
      <w:lvlJc w:val="left"/>
    </w:lvl>
  </w:abstractNum>
  <w:abstractNum w:abstractNumId="21">
    <w:nsid w:val="5DABD5AB"/>
    <w:multiLevelType w:val="singleLevel"/>
    <w:tmpl w:val="5DABD5AB"/>
    <w:lvl w:ilvl="0" w:tentative="0">
      <w:start w:val="6"/>
      <w:numFmt w:val="chineseCounting"/>
      <w:suff w:val="nothing"/>
      <w:lvlText w:val="%1、"/>
      <w:lvlJc w:val="left"/>
    </w:lvl>
  </w:abstractNum>
  <w:abstractNum w:abstractNumId="22">
    <w:nsid w:val="6C73457C"/>
    <w:multiLevelType w:val="multilevel"/>
    <w:tmpl w:val="6C7345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1355ED4"/>
    <w:multiLevelType w:val="multilevel"/>
    <w:tmpl w:val="71355ED4"/>
    <w:lvl w:ilvl="0" w:tentative="0">
      <w:start w:val="1"/>
      <w:numFmt w:val="decimal"/>
      <w:lvlText w:val="%1"/>
      <w:lvlJc w:val="center"/>
      <w:pPr>
        <w:tabs>
          <w:tab w:val="left" w:pos="142"/>
        </w:tabs>
        <w:ind w:left="142" w:firstLine="38"/>
      </w:pPr>
      <w:rPr>
        <w:rFonts w:hint="eastAsia" w:ascii="宋体" w:hAnsi="宋体" w:eastAsia="宋体"/>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4">
    <w:nsid w:val="7DA45BB0"/>
    <w:multiLevelType w:val="multilevel"/>
    <w:tmpl w:val="7DA45BB0"/>
    <w:lvl w:ilvl="0" w:tentative="0">
      <w:start w:val="1"/>
      <w:numFmt w:val="decimal"/>
      <w:lvlText w:val="3.1.11.%1"/>
      <w:lvlJc w:val="left"/>
      <w:pPr>
        <w:tabs>
          <w:tab w:val="left" w:pos="0"/>
        </w:tabs>
        <w:ind w:left="113" w:hanging="113"/>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EB7B8B6"/>
    <w:multiLevelType w:val="multilevel"/>
    <w:tmpl w:val="7EB7B8B6"/>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6"/>
  </w:num>
  <w:num w:numId="2">
    <w:abstractNumId w:val="0"/>
  </w:num>
  <w:num w:numId="3">
    <w:abstractNumId w:val="3"/>
  </w:num>
  <w:num w:numId="4">
    <w:abstractNumId w:val="14"/>
  </w:num>
  <w:num w:numId="5">
    <w:abstractNumId w:val="4"/>
  </w:num>
  <w:num w:numId="6">
    <w:abstractNumId w:val="19"/>
  </w:num>
  <w:num w:numId="7">
    <w:abstractNumId w:val="13"/>
  </w:num>
  <w:num w:numId="8">
    <w:abstractNumId w:val="15"/>
  </w:num>
  <w:num w:numId="9">
    <w:abstractNumId w:val="12"/>
  </w:num>
  <w:num w:numId="10">
    <w:abstractNumId w:val="11"/>
  </w:num>
  <w:num w:numId="11">
    <w:abstractNumId w:val="17"/>
  </w:num>
  <w:num w:numId="12">
    <w:abstractNumId w:val="18"/>
  </w:num>
  <w:num w:numId="13">
    <w:abstractNumId w:val="7"/>
  </w:num>
  <w:num w:numId="14">
    <w:abstractNumId w:val="25"/>
  </w:num>
  <w:num w:numId="15">
    <w:abstractNumId w:val="5"/>
  </w:num>
  <w:num w:numId="16">
    <w:abstractNumId w:val="24"/>
  </w:num>
  <w:num w:numId="17">
    <w:abstractNumId w:val="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6"/>
  </w:num>
  <w:num w:numId="21">
    <w:abstractNumId w:val="20"/>
  </w:num>
  <w:num w:numId="22">
    <w:abstractNumId w:val="2"/>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B23DC"/>
    <w:rsid w:val="00024C96"/>
    <w:rsid w:val="002D5AF8"/>
    <w:rsid w:val="003C3D9C"/>
    <w:rsid w:val="00443469"/>
    <w:rsid w:val="004F2CF9"/>
    <w:rsid w:val="006D771B"/>
    <w:rsid w:val="0076621D"/>
    <w:rsid w:val="008E2FE1"/>
    <w:rsid w:val="00907221"/>
    <w:rsid w:val="00C4023C"/>
    <w:rsid w:val="00CD6122"/>
    <w:rsid w:val="00CF283B"/>
    <w:rsid w:val="00F576AA"/>
    <w:rsid w:val="01044DEF"/>
    <w:rsid w:val="0108700D"/>
    <w:rsid w:val="016330E0"/>
    <w:rsid w:val="01971628"/>
    <w:rsid w:val="01B80EE6"/>
    <w:rsid w:val="01C71853"/>
    <w:rsid w:val="02290D8A"/>
    <w:rsid w:val="02325BBC"/>
    <w:rsid w:val="02464173"/>
    <w:rsid w:val="02757A0A"/>
    <w:rsid w:val="028936C9"/>
    <w:rsid w:val="028A20AE"/>
    <w:rsid w:val="02AD5921"/>
    <w:rsid w:val="02C31D5E"/>
    <w:rsid w:val="02D21C65"/>
    <w:rsid w:val="02E55791"/>
    <w:rsid w:val="033349C9"/>
    <w:rsid w:val="04D604B3"/>
    <w:rsid w:val="05293205"/>
    <w:rsid w:val="058316DA"/>
    <w:rsid w:val="058A6A3A"/>
    <w:rsid w:val="069D5E7E"/>
    <w:rsid w:val="07130DF3"/>
    <w:rsid w:val="07272377"/>
    <w:rsid w:val="0764545A"/>
    <w:rsid w:val="07715A00"/>
    <w:rsid w:val="082911DB"/>
    <w:rsid w:val="08395FD7"/>
    <w:rsid w:val="084F7EA4"/>
    <w:rsid w:val="085A0784"/>
    <w:rsid w:val="08624F9C"/>
    <w:rsid w:val="08A244F5"/>
    <w:rsid w:val="08BE37AE"/>
    <w:rsid w:val="09607832"/>
    <w:rsid w:val="096E2F1E"/>
    <w:rsid w:val="097A6346"/>
    <w:rsid w:val="0A3828BF"/>
    <w:rsid w:val="0A43237C"/>
    <w:rsid w:val="0A4B077A"/>
    <w:rsid w:val="0A6C6EDF"/>
    <w:rsid w:val="0A6F21CA"/>
    <w:rsid w:val="0A9E4DF4"/>
    <w:rsid w:val="0AC300AE"/>
    <w:rsid w:val="0ADB297A"/>
    <w:rsid w:val="0B3E2538"/>
    <w:rsid w:val="0B642BCF"/>
    <w:rsid w:val="0BA363E2"/>
    <w:rsid w:val="0BD3744F"/>
    <w:rsid w:val="0C7D0E0F"/>
    <w:rsid w:val="0D5A65B1"/>
    <w:rsid w:val="0D8B6611"/>
    <w:rsid w:val="0D8F55EA"/>
    <w:rsid w:val="0DC419A4"/>
    <w:rsid w:val="0E7B4697"/>
    <w:rsid w:val="0E8C728E"/>
    <w:rsid w:val="0E9C5898"/>
    <w:rsid w:val="0F00320F"/>
    <w:rsid w:val="0F0D3AEB"/>
    <w:rsid w:val="0F4F5589"/>
    <w:rsid w:val="0F6B23DC"/>
    <w:rsid w:val="0FCF3FBD"/>
    <w:rsid w:val="0FF56721"/>
    <w:rsid w:val="0FF93A94"/>
    <w:rsid w:val="10DD55A0"/>
    <w:rsid w:val="10EB64D5"/>
    <w:rsid w:val="1105272C"/>
    <w:rsid w:val="110A709D"/>
    <w:rsid w:val="111B3199"/>
    <w:rsid w:val="11484C61"/>
    <w:rsid w:val="11B22907"/>
    <w:rsid w:val="11C808BC"/>
    <w:rsid w:val="121D7A2B"/>
    <w:rsid w:val="12B707CA"/>
    <w:rsid w:val="13AA12E3"/>
    <w:rsid w:val="13CE7FD3"/>
    <w:rsid w:val="13D646F3"/>
    <w:rsid w:val="144F401C"/>
    <w:rsid w:val="14732BF7"/>
    <w:rsid w:val="14974E6F"/>
    <w:rsid w:val="14F10761"/>
    <w:rsid w:val="162B6195"/>
    <w:rsid w:val="16596CB9"/>
    <w:rsid w:val="1690612A"/>
    <w:rsid w:val="16B946FD"/>
    <w:rsid w:val="16D11082"/>
    <w:rsid w:val="16DC1947"/>
    <w:rsid w:val="16F8482E"/>
    <w:rsid w:val="17063A08"/>
    <w:rsid w:val="17BE1C63"/>
    <w:rsid w:val="17D35AFA"/>
    <w:rsid w:val="18953CB8"/>
    <w:rsid w:val="18AC5C4D"/>
    <w:rsid w:val="18F007AA"/>
    <w:rsid w:val="1919150F"/>
    <w:rsid w:val="195263B5"/>
    <w:rsid w:val="19694EED"/>
    <w:rsid w:val="19920F08"/>
    <w:rsid w:val="19956CC9"/>
    <w:rsid w:val="19A12FE2"/>
    <w:rsid w:val="1A5779E6"/>
    <w:rsid w:val="1A6C727E"/>
    <w:rsid w:val="1A885EFF"/>
    <w:rsid w:val="1B277257"/>
    <w:rsid w:val="1B4F036F"/>
    <w:rsid w:val="1BDB2293"/>
    <w:rsid w:val="1BF97324"/>
    <w:rsid w:val="1C564C66"/>
    <w:rsid w:val="1C6B0B77"/>
    <w:rsid w:val="1C827F92"/>
    <w:rsid w:val="1C917E8B"/>
    <w:rsid w:val="1D27313B"/>
    <w:rsid w:val="1D603166"/>
    <w:rsid w:val="1D616C61"/>
    <w:rsid w:val="1D6674DE"/>
    <w:rsid w:val="1D6C3502"/>
    <w:rsid w:val="1DAC2D3B"/>
    <w:rsid w:val="1E05721E"/>
    <w:rsid w:val="1E241E34"/>
    <w:rsid w:val="1E424AD2"/>
    <w:rsid w:val="1E9C6232"/>
    <w:rsid w:val="1ED74E5E"/>
    <w:rsid w:val="1F207604"/>
    <w:rsid w:val="1F362EC8"/>
    <w:rsid w:val="1FF113EA"/>
    <w:rsid w:val="20065836"/>
    <w:rsid w:val="20394766"/>
    <w:rsid w:val="20B11E08"/>
    <w:rsid w:val="20B322E5"/>
    <w:rsid w:val="20C9468F"/>
    <w:rsid w:val="20E36C44"/>
    <w:rsid w:val="20EF5977"/>
    <w:rsid w:val="216A5C07"/>
    <w:rsid w:val="21775D14"/>
    <w:rsid w:val="21B0734D"/>
    <w:rsid w:val="21B6397E"/>
    <w:rsid w:val="220A4A81"/>
    <w:rsid w:val="221C27AF"/>
    <w:rsid w:val="222F1EDE"/>
    <w:rsid w:val="22321F49"/>
    <w:rsid w:val="22344456"/>
    <w:rsid w:val="225843BE"/>
    <w:rsid w:val="22A0445E"/>
    <w:rsid w:val="22D268A3"/>
    <w:rsid w:val="22D767F0"/>
    <w:rsid w:val="22D81393"/>
    <w:rsid w:val="22E32379"/>
    <w:rsid w:val="230824C9"/>
    <w:rsid w:val="23615273"/>
    <w:rsid w:val="23A04C2D"/>
    <w:rsid w:val="23A66E32"/>
    <w:rsid w:val="23D01832"/>
    <w:rsid w:val="24196E4C"/>
    <w:rsid w:val="24364A2B"/>
    <w:rsid w:val="24983AFA"/>
    <w:rsid w:val="24B067E0"/>
    <w:rsid w:val="24DC548D"/>
    <w:rsid w:val="250B3443"/>
    <w:rsid w:val="25AB5C52"/>
    <w:rsid w:val="25D37668"/>
    <w:rsid w:val="25F4621C"/>
    <w:rsid w:val="25F9313E"/>
    <w:rsid w:val="26944E6F"/>
    <w:rsid w:val="26C00BA7"/>
    <w:rsid w:val="26EE6155"/>
    <w:rsid w:val="2706070C"/>
    <w:rsid w:val="271D1E77"/>
    <w:rsid w:val="27B52CF8"/>
    <w:rsid w:val="27F9731D"/>
    <w:rsid w:val="28221DFE"/>
    <w:rsid w:val="28736BEA"/>
    <w:rsid w:val="28D633B0"/>
    <w:rsid w:val="2A80422C"/>
    <w:rsid w:val="2AE72A12"/>
    <w:rsid w:val="2AEE6231"/>
    <w:rsid w:val="2B392F5B"/>
    <w:rsid w:val="2B3D5F55"/>
    <w:rsid w:val="2B7207DA"/>
    <w:rsid w:val="2B7C6160"/>
    <w:rsid w:val="2B8B0957"/>
    <w:rsid w:val="2B9914A3"/>
    <w:rsid w:val="2BDA6CB9"/>
    <w:rsid w:val="2C045045"/>
    <w:rsid w:val="2C497EA5"/>
    <w:rsid w:val="2C7D1E95"/>
    <w:rsid w:val="2CED452C"/>
    <w:rsid w:val="2D21181E"/>
    <w:rsid w:val="2D2C1C82"/>
    <w:rsid w:val="2D40532E"/>
    <w:rsid w:val="2D8F4292"/>
    <w:rsid w:val="2DA55A72"/>
    <w:rsid w:val="2E8F7B60"/>
    <w:rsid w:val="2EAA58C8"/>
    <w:rsid w:val="2EB82A61"/>
    <w:rsid w:val="2EDE4315"/>
    <w:rsid w:val="2F1524CC"/>
    <w:rsid w:val="2F222A2D"/>
    <w:rsid w:val="2F400AAB"/>
    <w:rsid w:val="2F7F61AA"/>
    <w:rsid w:val="2FC81274"/>
    <w:rsid w:val="3008094E"/>
    <w:rsid w:val="301F7421"/>
    <w:rsid w:val="305A4B6B"/>
    <w:rsid w:val="30D9540B"/>
    <w:rsid w:val="313D5E65"/>
    <w:rsid w:val="31550BEA"/>
    <w:rsid w:val="322E314F"/>
    <w:rsid w:val="323F4815"/>
    <w:rsid w:val="32B1336D"/>
    <w:rsid w:val="32D5679E"/>
    <w:rsid w:val="330E0A3E"/>
    <w:rsid w:val="33D243F2"/>
    <w:rsid w:val="34557CA6"/>
    <w:rsid w:val="34593782"/>
    <w:rsid w:val="34C0410A"/>
    <w:rsid w:val="34C43911"/>
    <w:rsid w:val="34DD04EB"/>
    <w:rsid w:val="34F22BEB"/>
    <w:rsid w:val="351F55F0"/>
    <w:rsid w:val="357F5BD0"/>
    <w:rsid w:val="358B7D08"/>
    <w:rsid w:val="358E26CC"/>
    <w:rsid w:val="36404A9D"/>
    <w:rsid w:val="365B2B46"/>
    <w:rsid w:val="367E04AD"/>
    <w:rsid w:val="36CB7313"/>
    <w:rsid w:val="36D45320"/>
    <w:rsid w:val="36DD0CDA"/>
    <w:rsid w:val="36E42BB8"/>
    <w:rsid w:val="36E7624E"/>
    <w:rsid w:val="371F6582"/>
    <w:rsid w:val="374C0FFB"/>
    <w:rsid w:val="37587735"/>
    <w:rsid w:val="377B553A"/>
    <w:rsid w:val="379864E9"/>
    <w:rsid w:val="379A4568"/>
    <w:rsid w:val="37AF48DD"/>
    <w:rsid w:val="37D80680"/>
    <w:rsid w:val="37EA4030"/>
    <w:rsid w:val="380A15C0"/>
    <w:rsid w:val="386F28D1"/>
    <w:rsid w:val="38A8153F"/>
    <w:rsid w:val="38B112B7"/>
    <w:rsid w:val="38BB4F98"/>
    <w:rsid w:val="38C97D63"/>
    <w:rsid w:val="38F25083"/>
    <w:rsid w:val="397F3CEA"/>
    <w:rsid w:val="3A3A3408"/>
    <w:rsid w:val="3A9C0542"/>
    <w:rsid w:val="3A9E4B7D"/>
    <w:rsid w:val="3AB1150C"/>
    <w:rsid w:val="3B611AE3"/>
    <w:rsid w:val="3B615B23"/>
    <w:rsid w:val="3B8B1948"/>
    <w:rsid w:val="3B9A7BCC"/>
    <w:rsid w:val="3BBD2DE5"/>
    <w:rsid w:val="3BC40630"/>
    <w:rsid w:val="3BCE4A42"/>
    <w:rsid w:val="3BF14323"/>
    <w:rsid w:val="3C691D3C"/>
    <w:rsid w:val="3CF065C8"/>
    <w:rsid w:val="3D5028CE"/>
    <w:rsid w:val="3D6226AB"/>
    <w:rsid w:val="3DA621B7"/>
    <w:rsid w:val="3E024B75"/>
    <w:rsid w:val="3E1F6CDD"/>
    <w:rsid w:val="3E211365"/>
    <w:rsid w:val="3E495516"/>
    <w:rsid w:val="3EF55F40"/>
    <w:rsid w:val="3EFD40C8"/>
    <w:rsid w:val="3F2C5FD6"/>
    <w:rsid w:val="3F2F54D3"/>
    <w:rsid w:val="3F7135F3"/>
    <w:rsid w:val="3F857743"/>
    <w:rsid w:val="3F9F7A11"/>
    <w:rsid w:val="3FAD70F3"/>
    <w:rsid w:val="40247F3F"/>
    <w:rsid w:val="40563EA0"/>
    <w:rsid w:val="40884DE5"/>
    <w:rsid w:val="40FA6597"/>
    <w:rsid w:val="41240597"/>
    <w:rsid w:val="41592EBF"/>
    <w:rsid w:val="41714D2B"/>
    <w:rsid w:val="418F5D66"/>
    <w:rsid w:val="421029EE"/>
    <w:rsid w:val="425677A1"/>
    <w:rsid w:val="4281159A"/>
    <w:rsid w:val="42A70F63"/>
    <w:rsid w:val="42C449C6"/>
    <w:rsid w:val="432357C9"/>
    <w:rsid w:val="436C49FE"/>
    <w:rsid w:val="43832581"/>
    <w:rsid w:val="43922061"/>
    <w:rsid w:val="43D35493"/>
    <w:rsid w:val="44000C16"/>
    <w:rsid w:val="4470241B"/>
    <w:rsid w:val="45306CCD"/>
    <w:rsid w:val="457C2F4B"/>
    <w:rsid w:val="45C86FD9"/>
    <w:rsid w:val="46104194"/>
    <w:rsid w:val="4618465F"/>
    <w:rsid w:val="464974CA"/>
    <w:rsid w:val="466E665F"/>
    <w:rsid w:val="46A626A1"/>
    <w:rsid w:val="46B424E1"/>
    <w:rsid w:val="46C730D1"/>
    <w:rsid w:val="46CD6794"/>
    <w:rsid w:val="47321DFA"/>
    <w:rsid w:val="4735203C"/>
    <w:rsid w:val="476163D1"/>
    <w:rsid w:val="478842B7"/>
    <w:rsid w:val="47B312CC"/>
    <w:rsid w:val="47B93DD6"/>
    <w:rsid w:val="47FB4D80"/>
    <w:rsid w:val="481F55B9"/>
    <w:rsid w:val="483E4C4C"/>
    <w:rsid w:val="48A86D43"/>
    <w:rsid w:val="48E50959"/>
    <w:rsid w:val="496017B3"/>
    <w:rsid w:val="498B2234"/>
    <w:rsid w:val="498F5E47"/>
    <w:rsid w:val="49B228C5"/>
    <w:rsid w:val="49C07315"/>
    <w:rsid w:val="49D33AA9"/>
    <w:rsid w:val="4A115023"/>
    <w:rsid w:val="4A3352C1"/>
    <w:rsid w:val="4A4F3391"/>
    <w:rsid w:val="4A6C4FA0"/>
    <w:rsid w:val="4A701B42"/>
    <w:rsid w:val="4A8F1A06"/>
    <w:rsid w:val="4ACB35C3"/>
    <w:rsid w:val="4B2854E9"/>
    <w:rsid w:val="4B9C1BC7"/>
    <w:rsid w:val="4C26557A"/>
    <w:rsid w:val="4C466B8E"/>
    <w:rsid w:val="4CE930B4"/>
    <w:rsid w:val="4D220DB4"/>
    <w:rsid w:val="4D574949"/>
    <w:rsid w:val="4DC018D5"/>
    <w:rsid w:val="4E2A2238"/>
    <w:rsid w:val="4F9E167F"/>
    <w:rsid w:val="4FA22600"/>
    <w:rsid w:val="50445B25"/>
    <w:rsid w:val="50626D17"/>
    <w:rsid w:val="50C05A70"/>
    <w:rsid w:val="50EF0D4A"/>
    <w:rsid w:val="51285AC5"/>
    <w:rsid w:val="5140122B"/>
    <w:rsid w:val="516C0006"/>
    <w:rsid w:val="51C33E96"/>
    <w:rsid w:val="51E276E1"/>
    <w:rsid w:val="52407D8A"/>
    <w:rsid w:val="53045224"/>
    <w:rsid w:val="53267554"/>
    <w:rsid w:val="53A40112"/>
    <w:rsid w:val="53AC17F5"/>
    <w:rsid w:val="53B123E4"/>
    <w:rsid w:val="53E428F5"/>
    <w:rsid w:val="542C7950"/>
    <w:rsid w:val="555E1818"/>
    <w:rsid w:val="55614299"/>
    <w:rsid w:val="55705547"/>
    <w:rsid w:val="55A32FDA"/>
    <w:rsid w:val="55C663D3"/>
    <w:rsid w:val="55D65928"/>
    <w:rsid w:val="5614525C"/>
    <w:rsid w:val="56AD73CB"/>
    <w:rsid w:val="56B545C6"/>
    <w:rsid w:val="570D1A04"/>
    <w:rsid w:val="57452246"/>
    <w:rsid w:val="57754AF1"/>
    <w:rsid w:val="57CE3081"/>
    <w:rsid w:val="58426041"/>
    <w:rsid w:val="589E0D77"/>
    <w:rsid w:val="58AD65DE"/>
    <w:rsid w:val="58F42C36"/>
    <w:rsid w:val="596C54C2"/>
    <w:rsid w:val="59731FAB"/>
    <w:rsid w:val="5A33568C"/>
    <w:rsid w:val="5A392DAE"/>
    <w:rsid w:val="5A5140DA"/>
    <w:rsid w:val="5A633482"/>
    <w:rsid w:val="5A7C41B7"/>
    <w:rsid w:val="5A88237A"/>
    <w:rsid w:val="5AAC521C"/>
    <w:rsid w:val="5BAB6B82"/>
    <w:rsid w:val="5BFB6997"/>
    <w:rsid w:val="5BFD1542"/>
    <w:rsid w:val="5C132D9D"/>
    <w:rsid w:val="5CA20C38"/>
    <w:rsid w:val="5D1C3E55"/>
    <w:rsid w:val="5D2213C0"/>
    <w:rsid w:val="5D301530"/>
    <w:rsid w:val="5D3976FE"/>
    <w:rsid w:val="5EC614F6"/>
    <w:rsid w:val="5ED903B3"/>
    <w:rsid w:val="5EE71160"/>
    <w:rsid w:val="5F091EAF"/>
    <w:rsid w:val="5F56530C"/>
    <w:rsid w:val="5F9C09F1"/>
    <w:rsid w:val="5FCC6D86"/>
    <w:rsid w:val="602A5868"/>
    <w:rsid w:val="60826BFC"/>
    <w:rsid w:val="60B735F6"/>
    <w:rsid w:val="61204357"/>
    <w:rsid w:val="61515C6D"/>
    <w:rsid w:val="61654287"/>
    <w:rsid w:val="61911C74"/>
    <w:rsid w:val="61A77F72"/>
    <w:rsid w:val="61B733C3"/>
    <w:rsid w:val="61B77EFC"/>
    <w:rsid w:val="61CE28C2"/>
    <w:rsid w:val="61D72CFF"/>
    <w:rsid w:val="61F07304"/>
    <w:rsid w:val="62704C10"/>
    <w:rsid w:val="62D0259B"/>
    <w:rsid w:val="62E928E5"/>
    <w:rsid w:val="62EF7D28"/>
    <w:rsid w:val="62F9185E"/>
    <w:rsid w:val="63145B66"/>
    <w:rsid w:val="63754488"/>
    <w:rsid w:val="63A22638"/>
    <w:rsid w:val="64086F27"/>
    <w:rsid w:val="641257D8"/>
    <w:rsid w:val="64335926"/>
    <w:rsid w:val="64495561"/>
    <w:rsid w:val="648017FD"/>
    <w:rsid w:val="64A12F81"/>
    <w:rsid w:val="651F1F3B"/>
    <w:rsid w:val="652F0AD2"/>
    <w:rsid w:val="655C6B19"/>
    <w:rsid w:val="656D7772"/>
    <w:rsid w:val="65833FF7"/>
    <w:rsid w:val="6596216B"/>
    <w:rsid w:val="66122CB6"/>
    <w:rsid w:val="66131CDF"/>
    <w:rsid w:val="66484E12"/>
    <w:rsid w:val="66541176"/>
    <w:rsid w:val="6741268D"/>
    <w:rsid w:val="67932CF1"/>
    <w:rsid w:val="67F56BA0"/>
    <w:rsid w:val="682E71AC"/>
    <w:rsid w:val="68602D30"/>
    <w:rsid w:val="68B234BD"/>
    <w:rsid w:val="68D35ED8"/>
    <w:rsid w:val="692C10C0"/>
    <w:rsid w:val="69407217"/>
    <w:rsid w:val="69C330AD"/>
    <w:rsid w:val="6A5E46C0"/>
    <w:rsid w:val="6AB04D3C"/>
    <w:rsid w:val="6AC303B0"/>
    <w:rsid w:val="6AEF71B2"/>
    <w:rsid w:val="6B02644B"/>
    <w:rsid w:val="6B413341"/>
    <w:rsid w:val="6B7D3E3D"/>
    <w:rsid w:val="6B8B0989"/>
    <w:rsid w:val="6BD9188A"/>
    <w:rsid w:val="6BF15DC8"/>
    <w:rsid w:val="6C005094"/>
    <w:rsid w:val="6C0160B9"/>
    <w:rsid w:val="6C440B46"/>
    <w:rsid w:val="6CA051A1"/>
    <w:rsid w:val="6D01588A"/>
    <w:rsid w:val="6D527588"/>
    <w:rsid w:val="6D77184C"/>
    <w:rsid w:val="6D9F1819"/>
    <w:rsid w:val="6DC026D2"/>
    <w:rsid w:val="6ED80AA6"/>
    <w:rsid w:val="6EEC1688"/>
    <w:rsid w:val="6EF608D2"/>
    <w:rsid w:val="6F6A179B"/>
    <w:rsid w:val="6FCF40FA"/>
    <w:rsid w:val="6FD94671"/>
    <w:rsid w:val="70117622"/>
    <w:rsid w:val="704C2716"/>
    <w:rsid w:val="705870ED"/>
    <w:rsid w:val="707B0682"/>
    <w:rsid w:val="70EB4203"/>
    <w:rsid w:val="714A1E0A"/>
    <w:rsid w:val="71700805"/>
    <w:rsid w:val="71771A6F"/>
    <w:rsid w:val="719F2C16"/>
    <w:rsid w:val="71D65909"/>
    <w:rsid w:val="72414CAD"/>
    <w:rsid w:val="72481BF0"/>
    <w:rsid w:val="72FE4863"/>
    <w:rsid w:val="731F7DE0"/>
    <w:rsid w:val="740D7FB6"/>
    <w:rsid w:val="74506491"/>
    <w:rsid w:val="74557DC3"/>
    <w:rsid w:val="74A90CF5"/>
    <w:rsid w:val="74C00A8F"/>
    <w:rsid w:val="74CE52A2"/>
    <w:rsid w:val="75046506"/>
    <w:rsid w:val="754B14F2"/>
    <w:rsid w:val="755C4FA3"/>
    <w:rsid w:val="75C55DFE"/>
    <w:rsid w:val="76886E63"/>
    <w:rsid w:val="76BA5467"/>
    <w:rsid w:val="773A7ECE"/>
    <w:rsid w:val="773E31C0"/>
    <w:rsid w:val="784C72E5"/>
    <w:rsid w:val="786F09CB"/>
    <w:rsid w:val="789B1CC0"/>
    <w:rsid w:val="78B73214"/>
    <w:rsid w:val="78B93020"/>
    <w:rsid w:val="792F07ED"/>
    <w:rsid w:val="7972472A"/>
    <w:rsid w:val="79B071B8"/>
    <w:rsid w:val="79EB0B1C"/>
    <w:rsid w:val="7A204541"/>
    <w:rsid w:val="7A873720"/>
    <w:rsid w:val="7A9076C3"/>
    <w:rsid w:val="7AA142E3"/>
    <w:rsid w:val="7AB87E5C"/>
    <w:rsid w:val="7AF942D8"/>
    <w:rsid w:val="7B2D2962"/>
    <w:rsid w:val="7BA916E3"/>
    <w:rsid w:val="7BFD7D51"/>
    <w:rsid w:val="7C2264A3"/>
    <w:rsid w:val="7CC31DDF"/>
    <w:rsid w:val="7CD9364E"/>
    <w:rsid w:val="7D4D5442"/>
    <w:rsid w:val="7E3653F8"/>
    <w:rsid w:val="7E5918AE"/>
    <w:rsid w:val="7E884505"/>
    <w:rsid w:val="7F223D9E"/>
    <w:rsid w:val="7F656921"/>
    <w:rsid w:val="7F7D3882"/>
    <w:rsid w:val="7F8A54A9"/>
    <w:rsid w:val="7FD37764"/>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unhideWhenUsed/>
    <w:qFormat/>
    <w:uiPriority w:val="0"/>
    <w:pPr>
      <w:keepNext/>
      <w:keepLines/>
      <w:numPr>
        <w:ilvl w:val="1"/>
        <w:numId w:val="1"/>
      </w:numPr>
      <w:spacing w:before="260" w:after="260" w:line="413" w:lineRule="auto"/>
      <w:outlineLvl w:val="1"/>
    </w:pPr>
    <w:rPr>
      <w:rFonts w:ascii="Arial" w:hAnsi="Arial" w:eastAsia="黑体"/>
      <w:b/>
      <w:sz w:val="32"/>
    </w:rPr>
  </w:style>
  <w:style w:type="character" w:default="1" w:styleId="20">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next w:val="3"/>
    <w:qFormat/>
    <w:uiPriority w:val="0"/>
    <w:pPr>
      <w:spacing w:before="25" w:after="25"/>
      <w:jc w:val="left"/>
    </w:pPr>
    <w:rPr>
      <w:bCs/>
      <w:spacing w:val="10"/>
      <w:kern w:val="0"/>
      <w:sz w:val="24"/>
      <w:szCs w:val="20"/>
    </w:rPr>
  </w:style>
  <w:style w:type="paragraph" w:styleId="3">
    <w:name w:val="Body Text"/>
    <w:basedOn w:val="1"/>
    <w:qFormat/>
    <w:uiPriority w:val="0"/>
  </w:style>
  <w:style w:type="paragraph" w:styleId="6">
    <w:name w:val="toc 7"/>
    <w:basedOn w:val="1"/>
    <w:next w:val="1"/>
    <w:uiPriority w:val="0"/>
    <w:pPr>
      <w:ind w:left="2520" w:leftChars="1200"/>
    </w:pPr>
  </w:style>
  <w:style w:type="paragraph" w:styleId="7">
    <w:name w:val="Body Text Indent"/>
    <w:basedOn w:val="1"/>
    <w:qFormat/>
    <w:uiPriority w:val="0"/>
    <w:pPr>
      <w:ind w:firstLine="480" w:firstLineChars="200"/>
    </w:pPr>
    <w:rPr>
      <w:rFonts w:ascii="宋体" w:hAnsi="宋体"/>
      <w:sz w:val="24"/>
      <w:szCs w:val="20"/>
    </w:rPr>
  </w:style>
  <w:style w:type="paragraph" w:styleId="8">
    <w:name w:val="toc 5"/>
    <w:basedOn w:val="1"/>
    <w:next w:val="1"/>
    <w:qFormat/>
    <w:uiPriority w:val="0"/>
    <w:pPr>
      <w:ind w:left="1680" w:leftChars="800"/>
    </w:p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toc 8"/>
    <w:basedOn w:val="1"/>
    <w:next w:val="1"/>
    <w:qFormat/>
    <w:uiPriority w:val="0"/>
    <w:pPr>
      <w:ind w:left="2940" w:leftChars="1400"/>
    </w:pPr>
  </w:style>
  <w:style w:type="paragraph" w:styleId="12">
    <w:name w:val="Balloon Text"/>
    <w:basedOn w:val="1"/>
    <w:link w:val="28"/>
    <w:uiPriority w:val="0"/>
    <w:rPr>
      <w:sz w:val="18"/>
      <w:szCs w:val="18"/>
    </w:rPr>
  </w:style>
  <w:style w:type="paragraph" w:styleId="13">
    <w:name w:val="footer"/>
    <w:basedOn w:val="1"/>
    <w:next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iPriority w:val="0"/>
  </w:style>
  <w:style w:type="paragraph" w:styleId="16">
    <w:name w:val="toc 4"/>
    <w:basedOn w:val="1"/>
    <w:next w:val="1"/>
    <w:uiPriority w:val="0"/>
    <w:pPr>
      <w:ind w:left="1260" w:leftChars="600"/>
    </w:pPr>
  </w:style>
  <w:style w:type="paragraph" w:styleId="17">
    <w:name w:val="toc 6"/>
    <w:basedOn w:val="1"/>
    <w:next w:val="1"/>
    <w:uiPriority w:val="0"/>
    <w:pPr>
      <w:ind w:left="2100" w:leftChars="1000"/>
    </w:pPr>
  </w:style>
  <w:style w:type="paragraph" w:styleId="18">
    <w:name w:val="toc 2"/>
    <w:basedOn w:val="1"/>
    <w:next w:val="1"/>
    <w:qFormat/>
    <w:uiPriority w:val="0"/>
    <w:pPr>
      <w:ind w:left="420" w:leftChars="200"/>
    </w:pPr>
  </w:style>
  <w:style w:type="paragraph" w:styleId="19">
    <w:name w:val="toc 9"/>
    <w:basedOn w:val="1"/>
    <w:next w:val="1"/>
    <w:qFormat/>
    <w:uiPriority w:val="0"/>
    <w:pPr>
      <w:ind w:left="3360" w:leftChars="1600"/>
    </w:pPr>
  </w:style>
  <w:style w:type="paragraph" w:customStyle="1" w:styleId="2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3">
    <w:name w:val="列出段落1"/>
    <w:basedOn w:val="1"/>
    <w:qFormat/>
    <w:uiPriority w:val="34"/>
    <w:pPr>
      <w:ind w:firstLine="420" w:firstLineChars="200"/>
    </w:pPr>
  </w:style>
  <w:style w:type="paragraph" w:customStyle="1" w:styleId="24">
    <w:name w:val="_Style 2"/>
    <w:basedOn w:val="1"/>
    <w:qFormat/>
    <w:uiPriority w:val="34"/>
    <w:pPr>
      <w:ind w:firstLine="420" w:firstLineChars="200"/>
    </w:pPr>
  </w:style>
  <w:style w:type="paragraph" w:customStyle="1" w:styleId="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列出段落2"/>
    <w:basedOn w:val="1"/>
    <w:qFormat/>
    <w:uiPriority w:val="34"/>
    <w:pPr>
      <w:ind w:firstLine="420" w:firstLineChars="200"/>
    </w:pPr>
  </w:style>
  <w:style w:type="paragraph" w:customStyle="1" w:styleId="27">
    <w:name w:val="列出段落21"/>
    <w:basedOn w:val="1"/>
    <w:unhideWhenUsed/>
    <w:qFormat/>
    <w:uiPriority w:val="34"/>
    <w:pPr>
      <w:ind w:firstLine="420" w:firstLineChars="200"/>
    </w:pPr>
  </w:style>
  <w:style w:type="character" w:customStyle="1" w:styleId="28">
    <w:name w:val="批注框文本 Char"/>
    <w:basedOn w:val="20"/>
    <w:link w:val="12"/>
    <w:qFormat/>
    <w:uiPriority w:val="0"/>
    <w:rPr>
      <w:rFonts w:ascii="Times New Roman" w:hAnsi="Times New Roman" w:eastAsia="宋体" w:cs="Times New Roman"/>
      <w:kern w:val="2"/>
      <w:sz w:val="18"/>
      <w:szCs w:val="18"/>
    </w:rPr>
  </w:style>
  <w:style w:type="paragraph" w:customStyle="1" w:styleId="29">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character" w:customStyle="1" w:styleId="30">
    <w:name w:val="title"/>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广检集团科学研究院/广州广检科学研究院有限公司</Company>
  <Pages>1</Pages>
  <Words>3321</Words>
  <Characters>18936</Characters>
  <Lines>157</Lines>
  <Paragraphs>44</Paragraphs>
  <ScaleCrop>false</ScaleCrop>
  <LinksUpToDate>false</LinksUpToDate>
  <CharactersWithSpaces>22213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2020-01-02T02:50:00Z</dcterms:created>
  <dc:creator>姚丹玲</dc:creator>
  <cp:lastModifiedBy>姚丹玲</cp:lastModifiedBy>
  <dcterms:modified xsi:type="dcterms:W3CDTF">2020-01-06T01:30:46Z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